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088A" w:rsidRDefault="00D2088A" w:rsidP="00FC08A5">
      <w:pPr>
        <w:spacing w:line="440" w:lineRule="exact"/>
        <w:ind w:right="848"/>
        <w:jc w:val="center"/>
        <w:rPr>
          <w:rFonts w:ascii="宋体" w:eastAsia="宋体" w:hAnsi="宋体" w:cs="宋体"/>
          <w:b/>
          <w:bCs/>
          <w:sz w:val="24"/>
        </w:rPr>
      </w:pPr>
      <w:r w:rsidRPr="001E2C80">
        <w:rPr>
          <w:rFonts w:ascii="宋体" w:eastAsia="宋体" w:hAnsi="宋体" w:cs="宋体" w:hint="eastAsia"/>
          <w:b/>
          <w:bCs/>
          <w:sz w:val="24"/>
        </w:rPr>
        <w:t>证券代码：</w:t>
      </w:r>
      <w:r w:rsidRPr="001E2C80">
        <w:rPr>
          <w:rFonts w:ascii="宋体" w:eastAsia="宋体" w:hAnsi="宋体" w:cs="宋体"/>
          <w:b/>
          <w:bCs/>
          <w:sz w:val="24"/>
        </w:rPr>
        <w:t xml:space="preserve">600971      </w:t>
      </w:r>
      <w:r w:rsidRPr="001E2C80">
        <w:rPr>
          <w:rFonts w:ascii="宋体" w:eastAsia="宋体" w:hAnsi="宋体" w:cs="宋体" w:hint="eastAsia"/>
          <w:b/>
          <w:bCs/>
          <w:sz w:val="24"/>
        </w:rPr>
        <w:t>证券简称：恒源煤电</w:t>
      </w:r>
      <w:r w:rsidR="00415269">
        <w:rPr>
          <w:rFonts w:ascii="宋体" w:eastAsia="宋体" w:hAnsi="宋体" w:cs="宋体" w:hint="eastAsia"/>
          <w:b/>
          <w:bCs/>
          <w:sz w:val="24"/>
        </w:rPr>
        <w:t xml:space="preserve">  </w:t>
      </w:r>
      <w:r w:rsidRPr="001E2C80">
        <w:rPr>
          <w:rFonts w:ascii="宋体" w:eastAsia="宋体" w:hAnsi="宋体" w:cs="宋体" w:hint="eastAsia"/>
          <w:b/>
          <w:bCs/>
          <w:sz w:val="24"/>
        </w:rPr>
        <w:t>公告编号：</w:t>
      </w:r>
      <w:r w:rsidRPr="001E2C80">
        <w:rPr>
          <w:rFonts w:ascii="宋体" w:eastAsia="宋体" w:hAnsi="宋体" w:cs="宋体"/>
          <w:b/>
          <w:bCs/>
          <w:sz w:val="24"/>
        </w:rPr>
        <w:t>20</w:t>
      </w:r>
      <w:r w:rsidRPr="001E2C80">
        <w:rPr>
          <w:rFonts w:ascii="宋体" w:eastAsia="宋体" w:hAnsi="宋体" w:cs="宋体" w:hint="eastAsia"/>
          <w:b/>
          <w:bCs/>
          <w:sz w:val="24"/>
        </w:rPr>
        <w:t>2</w:t>
      </w:r>
      <w:r w:rsidR="00EA2F24">
        <w:rPr>
          <w:rFonts w:ascii="宋体" w:eastAsia="宋体" w:hAnsi="宋体" w:cs="宋体"/>
          <w:b/>
          <w:bCs/>
          <w:sz w:val="24"/>
        </w:rPr>
        <w:t>5</w:t>
      </w:r>
      <w:r w:rsidRPr="001E2C80">
        <w:rPr>
          <w:rFonts w:ascii="宋体" w:eastAsia="宋体" w:hAnsi="宋体" w:cs="宋体"/>
          <w:b/>
          <w:bCs/>
          <w:sz w:val="24"/>
        </w:rPr>
        <w:t>-</w:t>
      </w:r>
      <w:r w:rsidR="0047602C">
        <w:rPr>
          <w:rFonts w:ascii="宋体" w:eastAsia="宋体" w:hAnsi="宋体" w:cs="宋体"/>
          <w:b/>
          <w:bCs/>
          <w:sz w:val="24"/>
        </w:rPr>
        <w:t>016</w:t>
      </w:r>
    </w:p>
    <w:p w:rsidR="00363ABA" w:rsidRPr="001E2C80" w:rsidRDefault="00363ABA" w:rsidP="00FC08A5">
      <w:pPr>
        <w:spacing w:line="440" w:lineRule="exact"/>
        <w:ind w:right="848"/>
        <w:jc w:val="center"/>
        <w:rPr>
          <w:rFonts w:ascii="宋体" w:eastAsia="宋体" w:hAnsi="宋体" w:cs="Times New Roman"/>
          <w:sz w:val="24"/>
        </w:rPr>
      </w:pPr>
    </w:p>
    <w:p w:rsidR="00D2088A" w:rsidRPr="001E2C80" w:rsidRDefault="00D2088A" w:rsidP="00FC08A5">
      <w:pPr>
        <w:spacing w:line="440" w:lineRule="exact"/>
        <w:jc w:val="center"/>
        <w:rPr>
          <w:rFonts w:ascii="Calibri" w:eastAsia="黑体" w:hAnsi="Calibri" w:cs="Times New Roman"/>
          <w:b/>
          <w:color w:val="FF0000"/>
          <w:sz w:val="36"/>
          <w:szCs w:val="36"/>
        </w:rPr>
      </w:pPr>
      <w:r w:rsidRPr="001E2C80">
        <w:rPr>
          <w:rFonts w:ascii="Calibri" w:eastAsia="黑体" w:hAnsi="Calibri" w:cs="Times New Roman" w:hint="eastAsia"/>
          <w:b/>
          <w:color w:val="FF0000"/>
          <w:sz w:val="36"/>
          <w:szCs w:val="36"/>
        </w:rPr>
        <w:t>安徽恒源煤电股份有限公司</w:t>
      </w:r>
    </w:p>
    <w:p w:rsidR="00D2088A" w:rsidRPr="001E2C80" w:rsidRDefault="001A5694" w:rsidP="00FC08A5">
      <w:pPr>
        <w:spacing w:line="440" w:lineRule="exact"/>
        <w:jc w:val="center"/>
        <w:rPr>
          <w:rFonts w:ascii="Calibri" w:eastAsia="黑体" w:hAnsi="Calibri" w:cs="Times New Roman"/>
          <w:b/>
          <w:color w:val="FF0000"/>
          <w:sz w:val="36"/>
          <w:szCs w:val="36"/>
        </w:rPr>
      </w:pPr>
      <w:r w:rsidRPr="001A5694">
        <w:rPr>
          <w:rFonts w:ascii="Calibri" w:eastAsia="黑体" w:hAnsi="Calibri" w:cs="Times New Roman" w:hint="eastAsia"/>
          <w:b/>
          <w:color w:val="FF0000"/>
          <w:sz w:val="36"/>
          <w:szCs w:val="36"/>
        </w:rPr>
        <w:t>关于公司获取任楼煤矿深部资源及签订采矿权出让收益缴纳协议的公告</w:t>
      </w:r>
    </w:p>
    <w:p w:rsidR="00D2088A" w:rsidRPr="004C4247" w:rsidRDefault="00D2088A" w:rsidP="00FC08A5">
      <w:pPr>
        <w:autoSpaceDE w:val="0"/>
        <w:autoSpaceDN w:val="0"/>
        <w:adjustRightInd w:val="0"/>
        <w:snapToGrid w:val="0"/>
        <w:spacing w:line="440" w:lineRule="exact"/>
        <w:ind w:right="357"/>
        <w:jc w:val="center"/>
        <w:rPr>
          <w:rFonts w:ascii="Calibri" w:eastAsia="黑体" w:hAnsi="Calibri" w:cs="Times New Roman"/>
          <w:b/>
          <w:color w:val="FF0000"/>
          <w:sz w:val="36"/>
          <w:szCs w:val="36"/>
        </w:rPr>
      </w:pPr>
    </w:p>
    <w:p w:rsidR="00D2088A" w:rsidRDefault="00D2088A" w:rsidP="00FC08A5">
      <w:pPr>
        <w:spacing w:line="440" w:lineRule="exact"/>
        <w:ind w:firstLineChars="200" w:firstLine="560"/>
        <w:rPr>
          <w:rFonts w:ascii="Calibri" w:eastAsia="楷体_GB2312" w:hAnsi="Calibri" w:cs="Times New Roman"/>
          <w:sz w:val="28"/>
          <w:szCs w:val="20"/>
        </w:rPr>
      </w:pPr>
      <w:r w:rsidRPr="001E2C80">
        <w:rPr>
          <w:rFonts w:ascii="Calibri" w:eastAsia="楷体_GB2312" w:hAnsi="Calibri" w:cs="Times New Roman"/>
          <w:sz w:val="28"/>
          <w:szCs w:val="20"/>
        </w:rPr>
        <w:t>本公司董事会及全体董事保证本公告内容不存在任何虚假记载、误导性陈述或者重大遗漏，并对其内容的真实性、准确性和完整性承担个别及连带责任。</w:t>
      </w:r>
    </w:p>
    <w:p w:rsidR="001A5694" w:rsidRDefault="002E7605" w:rsidP="00FC08A5">
      <w:pPr>
        <w:spacing w:line="440" w:lineRule="exact"/>
        <w:ind w:firstLineChars="200" w:firstLine="560"/>
        <w:rPr>
          <w:rFonts w:asciiTheme="minorEastAsia" w:hAnsiTheme="minorEastAsia"/>
          <w:bCs/>
          <w:sz w:val="28"/>
          <w:szCs w:val="28"/>
        </w:rPr>
      </w:pPr>
      <w:r>
        <w:rPr>
          <w:rFonts w:asciiTheme="minorEastAsia" w:hAnsiTheme="minorEastAsia" w:hint="eastAsia"/>
          <w:bCs/>
          <w:sz w:val="28"/>
          <w:szCs w:val="28"/>
        </w:rPr>
        <w:t>安徽恒源煤电股份有限公司（以下简称“公司”）</w:t>
      </w:r>
      <w:r w:rsidR="001A5694">
        <w:rPr>
          <w:rFonts w:asciiTheme="minorEastAsia" w:hAnsiTheme="minorEastAsia" w:hint="eastAsia"/>
          <w:bCs/>
          <w:sz w:val="28"/>
          <w:szCs w:val="28"/>
        </w:rPr>
        <w:t>为进一步优化资源布局，提升公司可持续发展能力，近日，公司与安徽省自然资源厅就任楼煤矿深部资源出让事宜达成一致，并签署《采矿权出让收益缴纳协议》。本次交易完成后，公司将依法取得任楼煤矿深部资源的开采权及相应权益。</w:t>
      </w:r>
    </w:p>
    <w:p w:rsidR="00274A03" w:rsidRPr="00B81DE5" w:rsidRDefault="001A5694" w:rsidP="00FC08A5">
      <w:pPr>
        <w:spacing w:line="440" w:lineRule="exact"/>
        <w:ind w:firstLineChars="200" w:firstLine="562"/>
        <w:jc w:val="left"/>
        <w:rPr>
          <w:rFonts w:asciiTheme="minorEastAsia" w:hAnsiTheme="minorEastAsia"/>
          <w:b/>
          <w:bCs/>
          <w:sz w:val="28"/>
          <w:szCs w:val="28"/>
        </w:rPr>
      </w:pPr>
      <w:r w:rsidRPr="00B81DE5">
        <w:rPr>
          <w:rFonts w:asciiTheme="minorEastAsia" w:hAnsiTheme="minorEastAsia" w:hint="eastAsia"/>
          <w:b/>
          <w:bCs/>
          <w:sz w:val="28"/>
          <w:szCs w:val="28"/>
        </w:rPr>
        <w:t>一、取得资源情况</w:t>
      </w:r>
    </w:p>
    <w:p w:rsidR="001A5694" w:rsidRDefault="001A5694" w:rsidP="00FC08A5">
      <w:pPr>
        <w:spacing w:line="440" w:lineRule="exact"/>
        <w:ind w:firstLineChars="200" w:firstLine="560"/>
        <w:jc w:val="left"/>
        <w:rPr>
          <w:rFonts w:asciiTheme="minorEastAsia" w:hAnsiTheme="minorEastAsia"/>
          <w:bCs/>
          <w:sz w:val="28"/>
          <w:szCs w:val="28"/>
        </w:rPr>
      </w:pPr>
      <w:r>
        <w:rPr>
          <w:rFonts w:asciiTheme="minorEastAsia" w:hAnsiTheme="minorEastAsia" w:hint="eastAsia"/>
          <w:bCs/>
          <w:sz w:val="28"/>
          <w:szCs w:val="28"/>
        </w:rPr>
        <w:t>本次</w:t>
      </w:r>
      <w:r w:rsidR="00E951AE">
        <w:rPr>
          <w:rFonts w:asciiTheme="minorEastAsia" w:hAnsiTheme="minorEastAsia" w:hint="eastAsia"/>
          <w:bCs/>
          <w:sz w:val="28"/>
          <w:szCs w:val="28"/>
        </w:rPr>
        <w:t>获取的</w:t>
      </w:r>
      <w:r w:rsidR="00D1170E">
        <w:rPr>
          <w:rFonts w:asciiTheme="minorEastAsia" w:hAnsiTheme="minorEastAsia" w:hint="eastAsia"/>
          <w:bCs/>
          <w:sz w:val="28"/>
          <w:szCs w:val="28"/>
        </w:rPr>
        <w:t>资源系公司以空白区申请依法获取，</w:t>
      </w:r>
      <w:r w:rsidR="00E951AE" w:rsidRPr="00E951AE">
        <w:rPr>
          <w:rFonts w:asciiTheme="minorEastAsia" w:hAnsiTheme="minorEastAsia" w:hint="eastAsia"/>
          <w:bCs/>
          <w:sz w:val="28"/>
          <w:szCs w:val="28"/>
        </w:rPr>
        <w:t>保有资源量</w:t>
      </w:r>
      <w:r w:rsidR="00E951AE" w:rsidRPr="00E951AE">
        <w:rPr>
          <w:rFonts w:asciiTheme="minorEastAsia" w:hAnsiTheme="minorEastAsia"/>
          <w:bCs/>
          <w:sz w:val="28"/>
          <w:szCs w:val="28"/>
        </w:rPr>
        <w:t>20</w:t>
      </w:r>
      <w:r w:rsidR="00070650">
        <w:rPr>
          <w:rFonts w:asciiTheme="minorEastAsia" w:hAnsiTheme="minorEastAsia"/>
          <w:bCs/>
          <w:sz w:val="28"/>
          <w:szCs w:val="28"/>
        </w:rPr>
        <w:t>,</w:t>
      </w:r>
      <w:r w:rsidR="00E951AE" w:rsidRPr="00E951AE">
        <w:rPr>
          <w:rFonts w:asciiTheme="minorEastAsia" w:hAnsiTheme="minorEastAsia"/>
          <w:bCs/>
          <w:sz w:val="28"/>
          <w:szCs w:val="28"/>
        </w:rPr>
        <w:t>851.40</w:t>
      </w:r>
      <w:r w:rsidR="00E951AE" w:rsidRPr="00E951AE">
        <w:rPr>
          <w:rFonts w:asciiTheme="minorEastAsia" w:hAnsiTheme="minorEastAsia" w:hint="eastAsia"/>
          <w:bCs/>
          <w:sz w:val="28"/>
          <w:szCs w:val="28"/>
        </w:rPr>
        <w:t>万吨</w:t>
      </w:r>
      <w:r w:rsidR="00D1170E" w:rsidRPr="00E951AE">
        <w:rPr>
          <w:rFonts w:asciiTheme="minorEastAsia" w:hAnsiTheme="minorEastAsia" w:hint="eastAsia"/>
          <w:bCs/>
          <w:sz w:val="28"/>
          <w:szCs w:val="28"/>
        </w:rPr>
        <w:t>（-720～-1000米）</w:t>
      </w:r>
      <w:r w:rsidR="00E951AE">
        <w:rPr>
          <w:rFonts w:asciiTheme="minorEastAsia" w:hAnsiTheme="minorEastAsia" w:hint="eastAsia"/>
          <w:bCs/>
          <w:sz w:val="28"/>
          <w:szCs w:val="28"/>
        </w:rPr>
        <w:t>，</w:t>
      </w:r>
      <w:r w:rsidR="00E951AE" w:rsidRPr="00E951AE">
        <w:rPr>
          <w:rFonts w:asciiTheme="minorEastAsia" w:hAnsiTheme="minorEastAsia" w:hint="eastAsia"/>
          <w:bCs/>
          <w:sz w:val="28"/>
          <w:szCs w:val="28"/>
        </w:rPr>
        <w:t>其中QM资源量为</w:t>
      </w:r>
      <w:r w:rsidR="00E951AE" w:rsidRPr="00E951AE">
        <w:rPr>
          <w:rFonts w:asciiTheme="minorEastAsia" w:hAnsiTheme="minorEastAsia"/>
          <w:bCs/>
          <w:sz w:val="28"/>
          <w:szCs w:val="28"/>
        </w:rPr>
        <w:t>5</w:t>
      </w:r>
      <w:r w:rsidR="00070650">
        <w:rPr>
          <w:rFonts w:asciiTheme="minorEastAsia" w:hAnsiTheme="minorEastAsia"/>
          <w:bCs/>
          <w:sz w:val="28"/>
          <w:szCs w:val="28"/>
        </w:rPr>
        <w:t>,</w:t>
      </w:r>
      <w:r w:rsidR="00E951AE" w:rsidRPr="00E951AE">
        <w:rPr>
          <w:rFonts w:asciiTheme="minorEastAsia" w:hAnsiTheme="minorEastAsia"/>
          <w:bCs/>
          <w:sz w:val="28"/>
          <w:szCs w:val="28"/>
        </w:rPr>
        <w:t>994.80</w:t>
      </w:r>
      <w:r w:rsidR="00E951AE" w:rsidRPr="00E951AE">
        <w:rPr>
          <w:rFonts w:asciiTheme="minorEastAsia" w:hAnsiTheme="minorEastAsia" w:hint="eastAsia"/>
          <w:bCs/>
          <w:sz w:val="28"/>
          <w:szCs w:val="28"/>
        </w:rPr>
        <w:t>万吨，1/3JM资源量为</w:t>
      </w:r>
      <w:r w:rsidR="00E951AE" w:rsidRPr="00E951AE">
        <w:rPr>
          <w:rFonts w:asciiTheme="minorEastAsia" w:hAnsiTheme="minorEastAsia"/>
          <w:bCs/>
          <w:sz w:val="28"/>
          <w:szCs w:val="28"/>
        </w:rPr>
        <w:t>14</w:t>
      </w:r>
      <w:r w:rsidR="00070650">
        <w:rPr>
          <w:rFonts w:asciiTheme="minorEastAsia" w:hAnsiTheme="minorEastAsia"/>
          <w:bCs/>
          <w:sz w:val="28"/>
          <w:szCs w:val="28"/>
        </w:rPr>
        <w:t>,</w:t>
      </w:r>
      <w:r w:rsidR="00E951AE" w:rsidRPr="00E951AE">
        <w:rPr>
          <w:rFonts w:asciiTheme="minorEastAsia" w:hAnsiTheme="minorEastAsia"/>
          <w:bCs/>
          <w:sz w:val="28"/>
          <w:szCs w:val="28"/>
        </w:rPr>
        <w:t>856.60</w:t>
      </w:r>
      <w:r w:rsidR="00E951AE" w:rsidRPr="00E951AE">
        <w:rPr>
          <w:rFonts w:asciiTheme="minorEastAsia" w:hAnsiTheme="minorEastAsia" w:hint="eastAsia"/>
          <w:bCs/>
          <w:sz w:val="28"/>
          <w:szCs w:val="28"/>
        </w:rPr>
        <w:t>万吨</w:t>
      </w:r>
      <w:r w:rsidR="00E951AE">
        <w:rPr>
          <w:rFonts w:asciiTheme="minorEastAsia" w:hAnsiTheme="minorEastAsia" w:hint="eastAsia"/>
          <w:bCs/>
          <w:sz w:val="28"/>
          <w:szCs w:val="28"/>
        </w:rPr>
        <w:t>，资源位于任楼</w:t>
      </w:r>
      <w:r w:rsidR="00541B86">
        <w:rPr>
          <w:rFonts w:asciiTheme="minorEastAsia" w:hAnsiTheme="minorEastAsia" w:hint="eastAsia"/>
          <w:bCs/>
          <w:sz w:val="28"/>
          <w:szCs w:val="28"/>
        </w:rPr>
        <w:t>煤矿现采矿权范围内深部位置，需和现采矿权范围内的资源整合开采。</w:t>
      </w:r>
    </w:p>
    <w:p w:rsidR="001A5694" w:rsidRPr="00B81DE5" w:rsidRDefault="001A5694" w:rsidP="00FC08A5">
      <w:pPr>
        <w:spacing w:line="440" w:lineRule="exact"/>
        <w:ind w:firstLineChars="200" w:firstLine="562"/>
        <w:jc w:val="left"/>
        <w:rPr>
          <w:rFonts w:asciiTheme="minorEastAsia" w:hAnsiTheme="minorEastAsia"/>
          <w:b/>
          <w:bCs/>
          <w:sz w:val="28"/>
          <w:szCs w:val="28"/>
        </w:rPr>
      </w:pPr>
      <w:r w:rsidRPr="00B81DE5">
        <w:rPr>
          <w:rFonts w:asciiTheme="minorEastAsia" w:hAnsiTheme="minorEastAsia" w:hint="eastAsia"/>
          <w:b/>
          <w:bCs/>
          <w:sz w:val="28"/>
          <w:szCs w:val="28"/>
        </w:rPr>
        <w:t>二、</w:t>
      </w:r>
      <w:r w:rsidR="00541B86" w:rsidRPr="00B81DE5">
        <w:rPr>
          <w:rFonts w:asciiTheme="minorEastAsia" w:hAnsiTheme="minorEastAsia" w:hint="eastAsia"/>
          <w:b/>
          <w:bCs/>
          <w:sz w:val="28"/>
          <w:szCs w:val="28"/>
        </w:rPr>
        <w:t>采矿权出让收益缴纳协议签订情况</w:t>
      </w:r>
    </w:p>
    <w:p w:rsidR="00541B86" w:rsidRDefault="00541B86" w:rsidP="00FC08A5">
      <w:pPr>
        <w:spacing w:line="440" w:lineRule="exact"/>
        <w:ind w:firstLineChars="200" w:firstLine="560"/>
        <w:jc w:val="left"/>
        <w:rPr>
          <w:rFonts w:asciiTheme="minorEastAsia" w:hAnsiTheme="minorEastAsia"/>
          <w:bCs/>
          <w:sz w:val="28"/>
          <w:szCs w:val="28"/>
        </w:rPr>
      </w:pPr>
      <w:r>
        <w:rPr>
          <w:rFonts w:asciiTheme="minorEastAsia" w:hAnsiTheme="minorEastAsia" w:hint="eastAsia"/>
          <w:bCs/>
          <w:sz w:val="28"/>
          <w:szCs w:val="28"/>
        </w:rPr>
        <w:t>公司与安徽省自然资源厅签订了《采矿权出让收益缴纳协议》（皖探转采收【2</w:t>
      </w:r>
      <w:r>
        <w:rPr>
          <w:rFonts w:asciiTheme="minorEastAsia" w:hAnsiTheme="minorEastAsia"/>
          <w:bCs/>
          <w:sz w:val="28"/>
          <w:szCs w:val="28"/>
        </w:rPr>
        <w:t>025</w:t>
      </w:r>
      <w:r>
        <w:rPr>
          <w:rFonts w:asciiTheme="minorEastAsia" w:hAnsiTheme="minorEastAsia" w:hint="eastAsia"/>
          <w:bCs/>
          <w:sz w:val="28"/>
          <w:szCs w:val="28"/>
        </w:rPr>
        <w:t>】1号），协议约定公司为办理任楼煤矿采矿权（深部勘查探转采）有偿处置手续，需缴纳出让收益1</w:t>
      </w:r>
      <w:r>
        <w:rPr>
          <w:rFonts w:asciiTheme="minorEastAsia" w:hAnsiTheme="minorEastAsia"/>
          <w:bCs/>
          <w:sz w:val="28"/>
          <w:szCs w:val="28"/>
        </w:rPr>
        <w:t>45</w:t>
      </w:r>
      <w:r w:rsidR="00070650">
        <w:rPr>
          <w:rFonts w:asciiTheme="minorEastAsia" w:hAnsiTheme="minorEastAsia"/>
          <w:bCs/>
          <w:sz w:val="28"/>
          <w:szCs w:val="28"/>
        </w:rPr>
        <w:t>,</w:t>
      </w:r>
      <w:r>
        <w:rPr>
          <w:rFonts w:asciiTheme="minorEastAsia" w:hAnsiTheme="minorEastAsia"/>
          <w:bCs/>
          <w:sz w:val="28"/>
          <w:szCs w:val="28"/>
        </w:rPr>
        <w:t>097.18</w:t>
      </w:r>
      <w:r>
        <w:rPr>
          <w:rFonts w:asciiTheme="minorEastAsia" w:hAnsiTheme="minorEastAsia" w:hint="eastAsia"/>
          <w:bCs/>
          <w:sz w:val="28"/>
          <w:szCs w:val="28"/>
        </w:rPr>
        <w:t>万元，首期款1</w:t>
      </w:r>
      <w:r>
        <w:rPr>
          <w:rFonts w:asciiTheme="minorEastAsia" w:hAnsiTheme="minorEastAsia"/>
          <w:bCs/>
          <w:sz w:val="28"/>
          <w:szCs w:val="28"/>
        </w:rPr>
        <w:t>5</w:t>
      </w:r>
      <w:r w:rsidR="00070650">
        <w:rPr>
          <w:rFonts w:asciiTheme="minorEastAsia" w:hAnsiTheme="minorEastAsia"/>
          <w:bCs/>
          <w:sz w:val="28"/>
          <w:szCs w:val="28"/>
        </w:rPr>
        <w:t>,</w:t>
      </w:r>
      <w:r>
        <w:rPr>
          <w:rFonts w:asciiTheme="minorEastAsia" w:hAnsiTheme="minorEastAsia"/>
          <w:bCs/>
          <w:sz w:val="28"/>
          <w:szCs w:val="28"/>
        </w:rPr>
        <w:t>097.18</w:t>
      </w:r>
      <w:r>
        <w:rPr>
          <w:rFonts w:asciiTheme="minorEastAsia" w:hAnsiTheme="minorEastAsia" w:hint="eastAsia"/>
          <w:bCs/>
          <w:sz w:val="28"/>
          <w:szCs w:val="28"/>
        </w:rPr>
        <w:t>万元在公司收到税务部门缴款通知书之日起3</w:t>
      </w:r>
      <w:r>
        <w:rPr>
          <w:rFonts w:asciiTheme="minorEastAsia" w:hAnsiTheme="minorEastAsia"/>
          <w:bCs/>
          <w:sz w:val="28"/>
          <w:szCs w:val="28"/>
        </w:rPr>
        <w:t>0</w:t>
      </w:r>
      <w:r>
        <w:rPr>
          <w:rFonts w:asciiTheme="minorEastAsia" w:hAnsiTheme="minorEastAsia" w:hint="eastAsia"/>
          <w:bCs/>
          <w:sz w:val="28"/>
          <w:szCs w:val="28"/>
        </w:rPr>
        <w:t>日内缴纳，剩余1</w:t>
      </w:r>
      <w:r>
        <w:rPr>
          <w:rFonts w:asciiTheme="minorEastAsia" w:hAnsiTheme="minorEastAsia"/>
          <w:bCs/>
          <w:sz w:val="28"/>
          <w:szCs w:val="28"/>
        </w:rPr>
        <w:t>30</w:t>
      </w:r>
      <w:r w:rsidR="00070650">
        <w:rPr>
          <w:rFonts w:asciiTheme="minorEastAsia" w:hAnsiTheme="minorEastAsia"/>
          <w:bCs/>
          <w:sz w:val="28"/>
          <w:szCs w:val="28"/>
        </w:rPr>
        <w:t>,</w:t>
      </w:r>
      <w:r>
        <w:rPr>
          <w:rFonts w:asciiTheme="minorEastAsia" w:hAnsiTheme="minorEastAsia"/>
          <w:bCs/>
          <w:sz w:val="28"/>
          <w:szCs w:val="28"/>
        </w:rPr>
        <w:t>000</w:t>
      </w:r>
      <w:r>
        <w:rPr>
          <w:rFonts w:asciiTheme="minorEastAsia" w:hAnsiTheme="minorEastAsia" w:hint="eastAsia"/>
          <w:bCs/>
          <w:sz w:val="28"/>
          <w:szCs w:val="28"/>
        </w:rPr>
        <w:t>万元，从2</w:t>
      </w:r>
      <w:r>
        <w:rPr>
          <w:rFonts w:asciiTheme="minorEastAsia" w:hAnsiTheme="minorEastAsia"/>
          <w:bCs/>
          <w:sz w:val="28"/>
          <w:szCs w:val="28"/>
        </w:rPr>
        <w:t>026</w:t>
      </w:r>
      <w:r>
        <w:rPr>
          <w:rFonts w:asciiTheme="minorEastAsia" w:hAnsiTheme="minorEastAsia" w:hint="eastAsia"/>
          <w:bCs/>
          <w:sz w:val="28"/>
          <w:szCs w:val="28"/>
        </w:rPr>
        <w:t>年开始到2</w:t>
      </w:r>
      <w:r>
        <w:rPr>
          <w:rFonts w:asciiTheme="minorEastAsia" w:hAnsiTheme="minorEastAsia"/>
          <w:bCs/>
          <w:sz w:val="28"/>
          <w:szCs w:val="28"/>
        </w:rPr>
        <w:t>038</w:t>
      </w:r>
      <w:r>
        <w:rPr>
          <w:rFonts w:asciiTheme="minorEastAsia" w:hAnsiTheme="minorEastAsia" w:hint="eastAsia"/>
          <w:bCs/>
          <w:sz w:val="28"/>
          <w:szCs w:val="28"/>
        </w:rPr>
        <w:t>年每年缴纳1</w:t>
      </w:r>
      <w:r>
        <w:rPr>
          <w:rFonts w:asciiTheme="minorEastAsia" w:hAnsiTheme="minorEastAsia"/>
          <w:bCs/>
          <w:sz w:val="28"/>
          <w:szCs w:val="28"/>
        </w:rPr>
        <w:t>0</w:t>
      </w:r>
      <w:r w:rsidR="00070650">
        <w:rPr>
          <w:rFonts w:asciiTheme="minorEastAsia" w:hAnsiTheme="minorEastAsia"/>
          <w:bCs/>
          <w:sz w:val="28"/>
          <w:szCs w:val="28"/>
        </w:rPr>
        <w:t>,</w:t>
      </w:r>
      <w:r>
        <w:rPr>
          <w:rFonts w:asciiTheme="minorEastAsia" w:hAnsiTheme="minorEastAsia"/>
          <w:bCs/>
          <w:sz w:val="28"/>
          <w:szCs w:val="28"/>
        </w:rPr>
        <w:t>000</w:t>
      </w:r>
      <w:r>
        <w:rPr>
          <w:rFonts w:asciiTheme="minorEastAsia" w:hAnsiTheme="minorEastAsia" w:hint="eastAsia"/>
          <w:bCs/>
          <w:sz w:val="28"/>
          <w:szCs w:val="28"/>
        </w:rPr>
        <w:t>万元。</w:t>
      </w:r>
    </w:p>
    <w:p w:rsidR="00541B86" w:rsidRPr="00B81DE5" w:rsidRDefault="00541B86" w:rsidP="00FC08A5">
      <w:pPr>
        <w:spacing w:line="440" w:lineRule="exact"/>
        <w:ind w:firstLineChars="200" w:firstLine="562"/>
        <w:jc w:val="left"/>
        <w:rPr>
          <w:rFonts w:asciiTheme="minorEastAsia" w:hAnsiTheme="minorEastAsia"/>
          <w:b/>
          <w:bCs/>
          <w:sz w:val="28"/>
          <w:szCs w:val="28"/>
        </w:rPr>
      </w:pPr>
      <w:r w:rsidRPr="00B81DE5">
        <w:rPr>
          <w:rFonts w:asciiTheme="minorEastAsia" w:hAnsiTheme="minorEastAsia" w:hint="eastAsia"/>
          <w:b/>
          <w:bCs/>
          <w:sz w:val="28"/>
          <w:szCs w:val="28"/>
        </w:rPr>
        <w:t>三、对公司的影响</w:t>
      </w:r>
    </w:p>
    <w:p w:rsidR="00541B86" w:rsidRDefault="00541B86" w:rsidP="00FC08A5">
      <w:pPr>
        <w:spacing w:line="440" w:lineRule="exact"/>
        <w:ind w:firstLineChars="200" w:firstLine="560"/>
        <w:jc w:val="left"/>
        <w:rPr>
          <w:rFonts w:asciiTheme="minorEastAsia" w:hAnsiTheme="minorEastAsia"/>
          <w:bCs/>
          <w:sz w:val="28"/>
          <w:szCs w:val="28"/>
        </w:rPr>
      </w:pPr>
      <w:r>
        <w:rPr>
          <w:rFonts w:asciiTheme="minorEastAsia" w:hAnsiTheme="minorEastAsia" w:hint="eastAsia"/>
          <w:bCs/>
          <w:sz w:val="28"/>
          <w:szCs w:val="28"/>
        </w:rPr>
        <w:t>公司取得任楼煤矿深部资源，并和任楼煤矿现资源整合开采</w:t>
      </w:r>
      <w:r w:rsidR="000725F2">
        <w:rPr>
          <w:rFonts w:asciiTheme="minorEastAsia" w:hAnsiTheme="minorEastAsia" w:hint="eastAsia"/>
          <w:bCs/>
          <w:sz w:val="28"/>
          <w:szCs w:val="28"/>
        </w:rPr>
        <w:t>，将</w:t>
      </w:r>
      <w:r w:rsidR="005972BE">
        <w:rPr>
          <w:rFonts w:asciiTheme="minorEastAsia" w:hAnsiTheme="minorEastAsia" w:hint="eastAsia"/>
          <w:bCs/>
          <w:sz w:val="28"/>
          <w:szCs w:val="28"/>
        </w:rPr>
        <w:t>增加</w:t>
      </w:r>
      <w:r w:rsidR="000725F2">
        <w:rPr>
          <w:rFonts w:asciiTheme="minorEastAsia" w:hAnsiTheme="minorEastAsia" w:hint="eastAsia"/>
          <w:bCs/>
          <w:sz w:val="28"/>
          <w:szCs w:val="28"/>
        </w:rPr>
        <w:t>任楼煤矿开采年限，增强公司可持续发展能力。出让收益分期缴纳，对公司现金流不会产生不利影响。</w:t>
      </w:r>
    </w:p>
    <w:p w:rsidR="000725F2" w:rsidRPr="00B81DE5" w:rsidRDefault="000725F2" w:rsidP="00FC08A5">
      <w:pPr>
        <w:spacing w:line="440" w:lineRule="exact"/>
        <w:ind w:firstLineChars="200" w:firstLine="562"/>
        <w:jc w:val="left"/>
        <w:rPr>
          <w:rFonts w:asciiTheme="minorEastAsia" w:hAnsiTheme="minorEastAsia"/>
          <w:b/>
          <w:bCs/>
          <w:sz w:val="28"/>
          <w:szCs w:val="28"/>
        </w:rPr>
      </w:pPr>
      <w:r w:rsidRPr="00B81DE5">
        <w:rPr>
          <w:rFonts w:asciiTheme="minorEastAsia" w:hAnsiTheme="minorEastAsia" w:hint="eastAsia"/>
          <w:b/>
          <w:bCs/>
          <w:sz w:val="28"/>
          <w:szCs w:val="28"/>
        </w:rPr>
        <w:t>四、风险提示</w:t>
      </w:r>
    </w:p>
    <w:p w:rsidR="000725F2" w:rsidRPr="000725F2" w:rsidRDefault="000725F2" w:rsidP="00FC08A5">
      <w:pPr>
        <w:spacing w:line="440" w:lineRule="exact"/>
        <w:ind w:firstLineChars="200" w:firstLine="560"/>
        <w:jc w:val="left"/>
        <w:rPr>
          <w:rFonts w:asciiTheme="minorEastAsia" w:hAnsiTheme="minorEastAsia"/>
          <w:bCs/>
          <w:sz w:val="28"/>
          <w:szCs w:val="28"/>
        </w:rPr>
      </w:pPr>
      <w:r>
        <w:rPr>
          <w:rFonts w:asciiTheme="minorEastAsia" w:hAnsiTheme="minorEastAsia" w:hint="eastAsia"/>
          <w:bCs/>
          <w:sz w:val="28"/>
          <w:szCs w:val="28"/>
        </w:rPr>
        <w:lastRenderedPageBreak/>
        <w:t>1</w:t>
      </w:r>
      <w:r>
        <w:rPr>
          <w:rFonts w:asciiTheme="minorEastAsia" w:hAnsiTheme="minorEastAsia"/>
          <w:bCs/>
          <w:sz w:val="28"/>
          <w:szCs w:val="28"/>
        </w:rPr>
        <w:t>.</w:t>
      </w:r>
      <w:r w:rsidRPr="000725F2">
        <w:rPr>
          <w:rFonts w:asciiTheme="minorEastAsia" w:hAnsiTheme="minorEastAsia" w:hint="eastAsia"/>
          <w:bCs/>
          <w:sz w:val="28"/>
          <w:szCs w:val="28"/>
        </w:rPr>
        <w:t>煤炭资源开发是一个复杂且周期较长的过程，涉及地质条件、开采技术、安全生产等诸多方面的不确定性因素。尽管在获取资源前已进行了地质勘查工作，但在实际开采过程中仍可能遇到地质构造变化、瓦斯突出、涌水等突发情况，导致开采成本增加、开采进度延迟甚至开采方案调整，进而影响公司的经济效益。</w:t>
      </w:r>
    </w:p>
    <w:p w:rsidR="000725F2" w:rsidRPr="000725F2" w:rsidRDefault="000725F2" w:rsidP="00FC08A5">
      <w:pPr>
        <w:spacing w:line="440" w:lineRule="exact"/>
        <w:ind w:firstLineChars="200" w:firstLine="560"/>
        <w:jc w:val="left"/>
        <w:rPr>
          <w:rFonts w:asciiTheme="minorEastAsia" w:hAnsiTheme="minorEastAsia"/>
          <w:bCs/>
          <w:sz w:val="28"/>
          <w:szCs w:val="28"/>
        </w:rPr>
      </w:pPr>
      <w:r>
        <w:rPr>
          <w:rFonts w:asciiTheme="minorEastAsia" w:hAnsiTheme="minorEastAsia"/>
          <w:bCs/>
          <w:sz w:val="28"/>
          <w:szCs w:val="28"/>
        </w:rPr>
        <w:t>2.</w:t>
      </w:r>
      <w:r w:rsidRPr="000725F2">
        <w:rPr>
          <w:rFonts w:asciiTheme="minorEastAsia" w:hAnsiTheme="minorEastAsia" w:hint="eastAsia"/>
          <w:bCs/>
          <w:sz w:val="28"/>
          <w:szCs w:val="28"/>
        </w:rPr>
        <w:t>煤炭行业受国家宏观产业政策、环保政策、安全生产监管政策等影响较大。若未来国家出台更加严格的煤炭行业调控政策、提高环保标准或强化安全生产监管要求，公司可能面临煤炭产能受限、环保投入增加、安全生产费用上升等问题，对公司的生产经营与盈利能力产生不利影响。</w:t>
      </w:r>
    </w:p>
    <w:p w:rsidR="000725F2" w:rsidRDefault="000725F2" w:rsidP="00FC08A5">
      <w:pPr>
        <w:spacing w:line="440" w:lineRule="exact"/>
        <w:ind w:firstLineChars="200" w:firstLine="560"/>
        <w:jc w:val="left"/>
        <w:rPr>
          <w:rFonts w:asciiTheme="minorEastAsia" w:hAnsiTheme="minorEastAsia"/>
          <w:bCs/>
          <w:sz w:val="28"/>
          <w:szCs w:val="28"/>
        </w:rPr>
      </w:pPr>
      <w:r>
        <w:rPr>
          <w:rFonts w:asciiTheme="minorEastAsia" w:hAnsiTheme="minorEastAsia"/>
          <w:bCs/>
          <w:sz w:val="28"/>
          <w:szCs w:val="28"/>
        </w:rPr>
        <w:t>3.</w:t>
      </w:r>
      <w:r w:rsidRPr="000725F2">
        <w:rPr>
          <w:rFonts w:asciiTheme="minorEastAsia" w:hAnsiTheme="minorEastAsia" w:hint="eastAsia"/>
          <w:bCs/>
          <w:sz w:val="28"/>
          <w:szCs w:val="28"/>
        </w:rPr>
        <w:t>煤炭市场价格波动较为频繁，受宏观经济形势、能源结构调整、下游行业需求变化等因素影响显著。若未来煤炭市场价格出现大幅下跌，公司煤炭产品的销售收入与利润空间将受到压缩，影响公司的经营业绩。</w:t>
      </w:r>
    </w:p>
    <w:p w:rsidR="000725F2" w:rsidRDefault="000725F2" w:rsidP="00FC08A5">
      <w:pPr>
        <w:spacing w:line="440" w:lineRule="exact"/>
        <w:ind w:firstLineChars="200" w:firstLine="560"/>
        <w:jc w:val="left"/>
        <w:rPr>
          <w:rFonts w:asciiTheme="minorEastAsia" w:hAnsiTheme="minorEastAsia"/>
          <w:bCs/>
          <w:sz w:val="28"/>
          <w:szCs w:val="28"/>
        </w:rPr>
      </w:pPr>
      <w:r>
        <w:rPr>
          <w:rFonts w:asciiTheme="minorEastAsia" w:hAnsiTheme="minorEastAsia" w:hint="eastAsia"/>
          <w:bCs/>
          <w:sz w:val="28"/>
          <w:szCs w:val="28"/>
        </w:rPr>
        <w:t>4</w:t>
      </w:r>
      <w:r>
        <w:rPr>
          <w:rFonts w:asciiTheme="minorEastAsia" w:hAnsiTheme="minorEastAsia"/>
          <w:bCs/>
          <w:sz w:val="28"/>
          <w:szCs w:val="28"/>
        </w:rPr>
        <w:t>.</w:t>
      </w:r>
      <w:r w:rsidRPr="000725F2">
        <w:rPr>
          <w:rFonts w:hint="eastAsia"/>
        </w:rPr>
        <w:t xml:space="preserve"> </w:t>
      </w:r>
      <w:r w:rsidRPr="000725F2">
        <w:rPr>
          <w:rFonts w:asciiTheme="minorEastAsia" w:hAnsiTheme="minorEastAsia" w:hint="eastAsia"/>
          <w:bCs/>
          <w:sz w:val="28"/>
          <w:szCs w:val="28"/>
        </w:rPr>
        <w:t>本次交易涉及</w:t>
      </w:r>
      <w:r w:rsidR="005972BE">
        <w:rPr>
          <w:rFonts w:asciiTheme="minorEastAsia" w:hAnsiTheme="minorEastAsia" w:hint="eastAsia"/>
          <w:bCs/>
          <w:sz w:val="28"/>
          <w:szCs w:val="28"/>
        </w:rPr>
        <w:t>资源整合及新</w:t>
      </w:r>
      <w:r w:rsidRPr="000725F2">
        <w:rPr>
          <w:rFonts w:asciiTheme="minorEastAsia" w:hAnsiTheme="minorEastAsia" w:hint="eastAsia"/>
          <w:bCs/>
          <w:sz w:val="28"/>
          <w:szCs w:val="28"/>
        </w:rPr>
        <w:t>采矿权</w:t>
      </w:r>
      <w:r w:rsidR="005972BE">
        <w:rPr>
          <w:rFonts w:asciiTheme="minorEastAsia" w:hAnsiTheme="minorEastAsia" w:hint="eastAsia"/>
          <w:bCs/>
          <w:sz w:val="28"/>
          <w:szCs w:val="28"/>
        </w:rPr>
        <w:t>证申请</w:t>
      </w:r>
      <w:r w:rsidRPr="000725F2">
        <w:rPr>
          <w:rFonts w:asciiTheme="minorEastAsia" w:hAnsiTheme="minorEastAsia" w:hint="eastAsia"/>
          <w:bCs/>
          <w:sz w:val="28"/>
          <w:szCs w:val="28"/>
        </w:rPr>
        <w:t>等一系列行政审批程序，虽然公司将积极与相关政府部门沟通协调，推进审批工作，但仍存在由于审批流程繁琐、政策调整或其他不可预见因素导致审批时间延长甚至审批不通过的风险。若无法按时取得相关审批文件，公司将无法如期开展煤炭资源的开采活动，影响公司的业务规划与发展预期。</w:t>
      </w:r>
    </w:p>
    <w:p w:rsidR="000725F2" w:rsidRPr="00701DB0" w:rsidRDefault="000725F2" w:rsidP="00FC08A5">
      <w:pPr>
        <w:spacing w:line="440" w:lineRule="exact"/>
        <w:ind w:firstLineChars="200" w:firstLine="560"/>
        <w:jc w:val="left"/>
        <w:rPr>
          <w:rFonts w:asciiTheme="minorEastAsia" w:hAnsiTheme="minorEastAsia"/>
          <w:bCs/>
          <w:sz w:val="28"/>
          <w:szCs w:val="28"/>
        </w:rPr>
      </w:pPr>
      <w:r>
        <w:rPr>
          <w:rFonts w:asciiTheme="minorEastAsia" w:hAnsiTheme="minorEastAsia" w:hint="eastAsia"/>
          <w:bCs/>
          <w:sz w:val="28"/>
          <w:szCs w:val="28"/>
        </w:rPr>
        <w:t>特此公告</w:t>
      </w:r>
      <w:r w:rsidR="00B81DE5">
        <w:rPr>
          <w:rFonts w:asciiTheme="minorEastAsia" w:hAnsiTheme="minorEastAsia" w:hint="eastAsia"/>
          <w:bCs/>
          <w:sz w:val="28"/>
          <w:szCs w:val="28"/>
        </w:rPr>
        <w:t>。</w:t>
      </w:r>
    </w:p>
    <w:p w:rsidR="00070650" w:rsidRDefault="00070650" w:rsidP="00FC08A5">
      <w:pPr>
        <w:spacing w:line="440" w:lineRule="exact"/>
        <w:ind w:firstLine="570"/>
        <w:jc w:val="right"/>
        <w:rPr>
          <w:rFonts w:asciiTheme="minorEastAsia" w:hAnsiTheme="minorEastAsia"/>
          <w:bCs/>
          <w:sz w:val="28"/>
          <w:szCs w:val="28"/>
        </w:rPr>
      </w:pPr>
    </w:p>
    <w:p w:rsidR="00274A03" w:rsidRPr="000725F2" w:rsidRDefault="00274A03" w:rsidP="00FC08A5">
      <w:pPr>
        <w:spacing w:line="440" w:lineRule="exact"/>
        <w:ind w:firstLine="570"/>
        <w:jc w:val="right"/>
        <w:rPr>
          <w:rFonts w:asciiTheme="minorEastAsia" w:hAnsiTheme="minorEastAsia"/>
          <w:bCs/>
          <w:sz w:val="28"/>
          <w:szCs w:val="28"/>
        </w:rPr>
      </w:pPr>
      <w:bookmarkStart w:id="0" w:name="_GoBack"/>
      <w:bookmarkEnd w:id="0"/>
      <w:r w:rsidRPr="000725F2">
        <w:rPr>
          <w:rFonts w:asciiTheme="minorEastAsia" w:hAnsiTheme="minorEastAsia" w:hint="eastAsia"/>
          <w:bCs/>
          <w:sz w:val="28"/>
          <w:szCs w:val="28"/>
        </w:rPr>
        <w:t>安徽恒源煤电股份有限公司</w:t>
      </w:r>
    </w:p>
    <w:p w:rsidR="00DA12B7" w:rsidRPr="000725F2" w:rsidRDefault="00274A03" w:rsidP="00FC08A5">
      <w:pPr>
        <w:spacing w:line="440" w:lineRule="exact"/>
        <w:ind w:right="560" w:firstLine="570"/>
        <w:jc w:val="right"/>
        <w:rPr>
          <w:rFonts w:asciiTheme="minorEastAsia" w:hAnsiTheme="minorEastAsia"/>
          <w:bCs/>
          <w:sz w:val="28"/>
          <w:szCs w:val="28"/>
        </w:rPr>
      </w:pPr>
      <w:r w:rsidRPr="000725F2">
        <w:rPr>
          <w:rFonts w:asciiTheme="minorEastAsia" w:hAnsiTheme="minorEastAsia" w:hint="eastAsia"/>
          <w:bCs/>
          <w:sz w:val="28"/>
          <w:szCs w:val="28"/>
        </w:rPr>
        <w:t>202</w:t>
      </w:r>
      <w:r w:rsidR="0028013C" w:rsidRPr="000725F2">
        <w:rPr>
          <w:rFonts w:asciiTheme="minorEastAsia" w:hAnsiTheme="minorEastAsia"/>
          <w:bCs/>
          <w:sz w:val="28"/>
          <w:szCs w:val="28"/>
        </w:rPr>
        <w:t>5</w:t>
      </w:r>
      <w:r w:rsidRPr="000725F2">
        <w:rPr>
          <w:rFonts w:asciiTheme="minorEastAsia" w:hAnsiTheme="minorEastAsia" w:hint="eastAsia"/>
          <w:bCs/>
          <w:sz w:val="28"/>
          <w:szCs w:val="28"/>
        </w:rPr>
        <w:t>年</w:t>
      </w:r>
      <w:r w:rsidR="00707FDC" w:rsidRPr="000725F2">
        <w:rPr>
          <w:rFonts w:asciiTheme="minorEastAsia" w:hAnsiTheme="minorEastAsia"/>
          <w:bCs/>
          <w:sz w:val="28"/>
          <w:szCs w:val="28"/>
        </w:rPr>
        <w:t>3</w:t>
      </w:r>
      <w:r w:rsidRPr="000725F2">
        <w:rPr>
          <w:rFonts w:asciiTheme="minorEastAsia" w:hAnsiTheme="minorEastAsia" w:hint="eastAsia"/>
          <w:bCs/>
          <w:sz w:val="28"/>
          <w:szCs w:val="28"/>
        </w:rPr>
        <w:t>月</w:t>
      </w:r>
      <w:r w:rsidR="00043A3F">
        <w:rPr>
          <w:rFonts w:asciiTheme="minorEastAsia" w:hAnsiTheme="minorEastAsia"/>
          <w:bCs/>
          <w:sz w:val="28"/>
          <w:szCs w:val="28"/>
        </w:rPr>
        <w:t>29</w:t>
      </w:r>
      <w:r w:rsidRPr="000725F2">
        <w:rPr>
          <w:rFonts w:asciiTheme="minorEastAsia" w:hAnsiTheme="minorEastAsia" w:hint="eastAsia"/>
          <w:bCs/>
          <w:sz w:val="28"/>
          <w:szCs w:val="28"/>
        </w:rPr>
        <w:t>日</w:t>
      </w:r>
    </w:p>
    <w:sectPr w:rsidR="00DA12B7" w:rsidRPr="000725F2" w:rsidSect="002307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4A7" w:rsidRDefault="001E74A7" w:rsidP="00D2088A">
      <w:r>
        <w:separator/>
      </w:r>
    </w:p>
  </w:endnote>
  <w:endnote w:type="continuationSeparator" w:id="0">
    <w:p w:rsidR="001E74A7" w:rsidRDefault="001E74A7" w:rsidP="00D20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4A7" w:rsidRDefault="001E74A7" w:rsidP="00D2088A">
      <w:r>
        <w:separator/>
      </w:r>
    </w:p>
  </w:footnote>
  <w:footnote w:type="continuationSeparator" w:id="0">
    <w:p w:rsidR="001E74A7" w:rsidRDefault="001E74A7" w:rsidP="00D20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D7E0F"/>
    <w:multiLevelType w:val="hybridMultilevel"/>
    <w:tmpl w:val="11BE13B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3644B"/>
    <w:rsid w:val="000001DC"/>
    <w:rsid w:val="0000361C"/>
    <w:rsid w:val="00006D48"/>
    <w:rsid w:val="00043704"/>
    <w:rsid w:val="00043A3F"/>
    <w:rsid w:val="000509C9"/>
    <w:rsid w:val="000573FC"/>
    <w:rsid w:val="00070650"/>
    <w:rsid w:val="000725F2"/>
    <w:rsid w:val="0007397B"/>
    <w:rsid w:val="00074FC1"/>
    <w:rsid w:val="00084A6F"/>
    <w:rsid w:val="0009191E"/>
    <w:rsid w:val="00091BEC"/>
    <w:rsid w:val="000C0E39"/>
    <w:rsid w:val="000F340D"/>
    <w:rsid w:val="001168EC"/>
    <w:rsid w:val="00130688"/>
    <w:rsid w:val="00133275"/>
    <w:rsid w:val="001379BF"/>
    <w:rsid w:val="001424A7"/>
    <w:rsid w:val="00151C64"/>
    <w:rsid w:val="00152DEB"/>
    <w:rsid w:val="0017375D"/>
    <w:rsid w:val="00177194"/>
    <w:rsid w:val="00180B47"/>
    <w:rsid w:val="00182734"/>
    <w:rsid w:val="00194AC6"/>
    <w:rsid w:val="001A5694"/>
    <w:rsid w:val="001C21A4"/>
    <w:rsid w:val="001E219A"/>
    <w:rsid w:val="001E53CE"/>
    <w:rsid w:val="001E74A7"/>
    <w:rsid w:val="001F1159"/>
    <w:rsid w:val="001F5BEE"/>
    <w:rsid w:val="00200BF1"/>
    <w:rsid w:val="00216B46"/>
    <w:rsid w:val="00220A37"/>
    <w:rsid w:val="0023077A"/>
    <w:rsid w:val="002335F4"/>
    <w:rsid w:val="00233AEC"/>
    <w:rsid w:val="00235302"/>
    <w:rsid w:val="00236374"/>
    <w:rsid w:val="00247ABF"/>
    <w:rsid w:val="00251143"/>
    <w:rsid w:val="00273C93"/>
    <w:rsid w:val="00274A03"/>
    <w:rsid w:val="0028013C"/>
    <w:rsid w:val="00283196"/>
    <w:rsid w:val="00290366"/>
    <w:rsid w:val="00295731"/>
    <w:rsid w:val="002B204D"/>
    <w:rsid w:val="002B6596"/>
    <w:rsid w:val="002C7803"/>
    <w:rsid w:val="002D0869"/>
    <w:rsid w:val="002D7F6B"/>
    <w:rsid w:val="002E5453"/>
    <w:rsid w:val="002E710B"/>
    <w:rsid w:val="002E7605"/>
    <w:rsid w:val="00303798"/>
    <w:rsid w:val="00303F07"/>
    <w:rsid w:val="0033644B"/>
    <w:rsid w:val="0035733A"/>
    <w:rsid w:val="00360758"/>
    <w:rsid w:val="00363ABA"/>
    <w:rsid w:val="003961AB"/>
    <w:rsid w:val="003B12D2"/>
    <w:rsid w:val="003F3AAE"/>
    <w:rsid w:val="00414C1F"/>
    <w:rsid w:val="00415269"/>
    <w:rsid w:val="00415CFD"/>
    <w:rsid w:val="00420621"/>
    <w:rsid w:val="00435FAE"/>
    <w:rsid w:val="00446A6F"/>
    <w:rsid w:val="00451054"/>
    <w:rsid w:val="00453388"/>
    <w:rsid w:val="004639E6"/>
    <w:rsid w:val="00473000"/>
    <w:rsid w:val="00473004"/>
    <w:rsid w:val="00473554"/>
    <w:rsid w:val="0047602C"/>
    <w:rsid w:val="004A3394"/>
    <w:rsid w:val="004C0819"/>
    <w:rsid w:val="004C4247"/>
    <w:rsid w:val="004C4BA4"/>
    <w:rsid w:val="004D0957"/>
    <w:rsid w:val="004D7F2A"/>
    <w:rsid w:val="0052382E"/>
    <w:rsid w:val="00541B86"/>
    <w:rsid w:val="00543781"/>
    <w:rsid w:val="005449BB"/>
    <w:rsid w:val="005507A7"/>
    <w:rsid w:val="00551A5F"/>
    <w:rsid w:val="00565BE9"/>
    <w:rsid w:val="005972BE"/>
    <w:rsid w:val="0059799C"/>
    <w:rsid w:val="005A3270"/>
    <w:rsid w:val="005B2A03"/>
    <w:rsid w:val="005C38FC"/>
    <w:rsid w:val="005C438C"/>
    <w:rsid w:val="005D3512"/>
    <w:rsid w:val="005E529D"/>
    <w:rsid w:val="005F0286"/>
    <w:rsid w:val="00601099"/>
    <w:rsid w:val="006077E6"/>
    <w:rsid w:val="0061783F"/>
    <w:rsid w:val="006201B4"/>
    <w:rsid w:val="006239EF"/>
    <w:rsid w:val="006273AD"/>
    <w:rsid w:val="0065317D"/>
    <w:rsid w:val="00693D37"/>
    <w:rsid w:val="00693F6E"/>
    <w:rsid w:val="006949CD"/>
    <w:rsid w:val="006B330D"/>
    <w:rsid w:val="006B688E"/>
    <w:rsid w:val="006C2354"/>
    <w:rsid w:val="006C37B9"/>
    <w:rsid w:val="006C44D1"/>
    <w:rsid w:val="006F26D5"/>
    <w:rsid w:val="007011A5"/>
    <w:rsid w:val="00701451"/>
    <w:rsid w:val="00701DB0"/>
    <w:rsid w:val="00702334"/>
    <w:rsid w:val="00707FDC"/>
    <w:rsid w:val="007102CA"/>
    <w:rsid w:val="00711CAA"/>
    <w:rsid w:val="0072214B"/>
    <w:rsid w:val="00726632"/>
    <w:rsid w:val="007273B3"/>
    <w:rsid w:val="00732E87"/>
    <w:rsid w:val="00735EE1"/>
    <w:rsid w:val="0074382E"/>
    <w:rsid w:val="00746CE1"/>
    <w:rsid w:val="007537FA"/>
    <w:rsid w:val="007564B5"/>
    <w:rsid w:val="00764C20"/>
    <w:rsid w:val="0077213B"/>
    <w:rsid w:val="0077707B"/>
    <w:rsid w:val="00780AD9"/>
    <w:rsid w:val="007841CD"/>
    <w:rsid w:val="00791780"/>
    <w:rsid w:val="007D219B"/>
    <w:rsid w:val="007D6A57"/>
    <w:rsid w:val="007E5AD1"/>
    <w:rsid w:val="007F0B29"/>
    <w:rsid w:val="007F1B04"/>
    <w:rsid w:val="007F3399"/>
    <w:rsid w:val="0080666B"/>
    <w:rsid w:val="0081196E"/>
    <w:rsid w:val="00821422"/>
    <w:rsid w:val="008222F6"/>
    <w:rsid w:val="00825262"/>
    <w:rsid w:val="00837B2E"/>
    <w:rsid w:val="0084246C"/>
    <w:rsid w:val="00856200"/>
    <w:rsid w:val="00865B54"/>
    <w:rsid w:val="008757F2"/>
    <w:rsid w:val="008822FE"/>
    <w:rsid w:val="00892C7F"/>
    <w:rsid w:val="00895640"/>
    <w:rsid w:val="008A0168"/>
    <w:rsid w:val="008B4585"/>
    <w:rsid w:val="008B5337"/>
    <w:rsid w:val="008B6ECB"/>
    <w:rsid w:val="008C2F30"/>
    <w:rsid w:val="008C4A76"/>
    <w:rsid w:val="008D4D23"/>
    <w:rsid w:val="008D7F6A"/>
    <w:rsid w:val="008E0713"/>
    <w:rsid w:val="008E6C99"/>
    <w:rsid w:val="008E762F"/>
    <w:rsid w:val="008F262E"/>
    <w:rsid w:val="0090056B"/>
    <w:rsid w:val="009057FA"/>
    <w:rsid w:val="00927E30"/>
    <w:rsid w:val="00950291"/>
    <w:rsid w:val="00952186"/>
    <w:rsid w:val="00961783"/>
    <w:rsid w:val="0096564F"/>
    <w:rsid w:val="00974C64"/>
    <w:rsid w:val="00986E1C"/>
    <w:rsid w:val="00995510"/>
    <w:rsid w:val="009A4FFB"/>
    <w:rsid w:val="009B0111"/>
    <w:rsid w:val="009B256B"/>
    <w:rsid w:val="009B42C2"/>
    <w:rsid w:val="009C36F0"/>
    <w:rsid w:val="009D5207"/>
    <w:rsid w:val="009E066A"/>
    <w:rsid w:val="009E2628"/>
    <w:rsid w:val="009F0A7E"/>
    <w:rsid w:val="009F203F"/>
    <w:rsid w:val="009F61FF"/>
    <w:rsid w:val="00A00436"/>
    <w:rsid w:val="00A03E70"/>
    <w:rsid w:val="00A068C8"/>
    <w:rsid w:val="00A3223B"/>
    <w:rsid w:val="00A33106"/>
    <w:rsid w:val="00A36C0D"/>
    <w:rsid w:val="00A379B0"/>
    <w:rsid w:val="00A475CB"/>
    <w:rsid w:val="00A75971"/>
    <w:rsid w:val="00A91D81"/>
    <w:rsid w:val="00A9385F"/>
    <w:rsid w:val="00AA074A"/>
    <w:rsid w:val="00AA1B9F"/>
    <w:rsid w:val="00AA1C94"/>
    <w:rsid w:val="00AA3DD7"/>
    <w:rsid w:val="00AC02FC"/>
    <w:rsid w:val="00AC5FC4"/>
    <w:rsid w:val="00AD4E23"/>
    <w:rsid w:val="00AF6B75"/>
    <w:rsid w:val="00B41969"/>
    <w:rsid w:val="00B42B08"/>
    <w:rsid w:val="00B50F17"/>
    <w:rsid w:val="00B55E4A"/>
    <w:rsid w:val="00B65053"/>
    <w:rsid w:val="00B81DE5"/>
    <w:rsid w:val="00B832F3"/>
    <w:rsid w:val="00B875B4"/>
    <w:rsid w:val="00B87902"/>
    <w:rsid w:val="00B95EF5"/>
    <w:rsid w:val="00BB04C8"/>
    <w:rsid w:val="00BB6242"/>
    <w:rsid w:val="00BC3C36"/>
    <w:rsid w:val="00BC5852"/>
    <w:rsid w:val="00BC5F42"/>
    <w:rsid w:val="00BF3348"/>
    <w:rsid w:val="00C17396"/>
    <w:rsid w:val="00C31FDE"/>
    <w:rsid w:val="00C56C9F"/>
    <w:rsid w:val="00C66B09"/>
    <w:rsid w:val="00C70E7E"/>
    <w:rsid w:val="00C73F2F"/>
    <w:rsid w:val="00C82651"/>
    <w:rsid w:val="00CA428D"/>
    <w:rsid w:val="00CA7AA9"/>
    <w:rsid w:val="00CB172E"/>
    <w:rsid w:val="00CC7597"/>
    <w:rsid w:val="00CD66F5"/>
    <w:rsid w:val="00CF7A1F"/>
    <w:rsid w:val="00D1170E"/>
    <w:rsid w:val="00D2088A"/>
    <w:rsid w:val="00D2089B"/>
    <w:rsid w:val="00D25719"/>
    <w:rsid w:val="00D368B1"/>
    <w:rsid w:val="00D37933"/>
    <w:rsid w:val="00D5501E"/>
    <w:rsid w:val="00D63E78"/>
    <w:rsid w:val="00D7082D"/>
    <w:rsid w:val="00D76663"/>
    <w:rsid w:val="00D92C36"/>
    <w:rsid w:val="00DA12B7"/>
    <w:rsid w:val="00DA3941"/>
    <w:rsid w:val="00DB4F5C"/>
    <w:rsid w:val="00DC36ED"/>
    <w:rsid w:val="00DD1094"/>
    <w:rsid w:val="00DD1D72"/>
    <w:rsid w:val="00DD6C64"/>
    <w:rsid w:val="00DE2D77"/>
    <w:rsid w:val="00DE6DAD"/>
    <w:rsid w:val="00DF3B49"/>
    <w:rsid w:val="00E07E2D"/>
    <w:rsid w:val="00E11A0C"/>
    <w:rsid w:val="00E17966"/>
    <w:rsid w:val="00E21723"/>
    <w:rsid w:val="00E21758"/>
    <w:rsid w:val="00E326A7"/>
    <w:rsid w:val="00E46CF7"/>
    <w:rsid w:val="00E562C3"/>
    <w:rsid w:val="00E86DE6"/>
    <w:rsid w:val="00E951AE"/>
    <w:rsid w:val="00E959DA"/>
    <w:rsid w:val="00EA2F24"/>
    <w:rsid w:val="00EB1519"/>
    <w:rsid w:val="00EC2837"/>
    <w:rsid w:val="00ED4BC5"/>
    <w:rsid w:val="00EE13DD"/>
    <w:rsid w:val="00EF5303"/>
    <w:rsid w:val="00EF594B"/>
    <w:rsid w:val="00EF5B29"/>
    <w:rsid w:val="00EF7D6E"/>
    <w:rsid w:val="00EF7DE6"/>
    <w:rsid w:val="00F01079"/>
    <w:rsid w:val="00F01383"/>
    <w:rsid w:val="00F05DFC"/>
    <w:rsid w:val="00F27348"/>
    <w:rsid w:val="00F40606"/>
    <w:rsid w:val="00F4255D"/>
    <w:rsid w:val="00F4657E"/>
    <w:rsid w:val="00F569AA"/>
    <w:rsid w:val="00F707D4"/>
    <w:rsid w:val="00F95027"/>
    <w:rsid w:val="00F96DD2"/>
    <w:rsid w:val="00F96E4B"/>
    <w:rsid w:val="00FC08A5"/>
    <w:rsid w:val="00FD657B"/>
    <w:rsid w:val="00FD6F1C"/>
    <w:rsid w:val="00FE1DAA"/>
    <w:rsid w:val="00FE75C3"/>
    <w:rsid w:val="00FF0831"/>
    <w:rsid w:val="00FF472A"/>
    <w:rsid w:val="00FF79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AD1C5"/>
  <w15:docId w15:val="{B8CB219D-8B83-4AF9-A1D3-6A56DE9DA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88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08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2088A"/>
    <w:rPr>
      <w:sz w:val="18"/>
      <w:szCs w:val="18"/>
    </w:rPr>
  </w:style>
  <w:style w:type="paragraph" w:styleId="a5">
    <w:name w:val="footer"/>
    <w:basedOn w:val="a"/>
    <w:link w:val="a6"/>
    <w:uiPriority w:val="99"/>
    <w:unhideWhenUsed/>
    <w:rsid w:val="00D2088A"/>
    <w:pPr>
      <w:tabs>
        <w:tab w:val="center" w:pos="4153"/>
        <w:tab w:val="right" w:pos="8306"/>
      </w:tabs>
      <w:snapToGrid w:val="0"/>
      <w:jc w:val="left"/>
    </w:pPr>
    <w:rPr>
      <w:sz w:val="18"/>
      <w:szCs w:val="18"/>
    </w:rPr>
  </w:style>
  <w:style w:type="character" w:customStyle="1" w:styleId="a6">
    <w:name w:val="页脚 字符"/>
    <w:basedOn w:val="a0"/>
    <w:link w:val="a5"/>
    <w:uiPriority w:val="99"/>
    <w:rsid w:val="00D2088A"/>
    <w:rPr>
      <w:sz w:val="18"/>
      <w:szCs w:val="18"/>
    </w:rPr>
  </w:style>
  <w:style w:type="paragraph" w:styleId="a7">
    <w:name w:val="Date"/>
    <w:basedOn w:val="a"/>
    <w:next w:val="a"/>
    <w:link w:val="a8"/>
    <w:uiPriority w:val="99"/>
    <w:semiHidden/>
    <w:unhideWhenUsed/>
    <w:rsid w:val="009C36F0"/>
    <w:pPr>
      <w:ind w:leftChars="2500" w:left="100"/>
    </w:pPr>
  </w:style>
  <w:style w:type="character" w:customStyle="1" w:styleId="a8">
    <w:name w:val="日期 字符"/>
    <w:basedOn w:val="a0"/>
    <w:link w:val="a7"/>
    <w:uiPriority w:val="99"/>
    <w:semiHidden/>
    <w:rsid w:val="009C36F0"/>
  </w:style>
  <w:style w:type="table" w:styleId="a9">
    <w:name w:val="Table Grid"/>
    <w:basedOn w:val="a1"/>
    <w:uiPriority w:val="59"/>
    <w:rsid w:val="00274A0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F05DFC"/>
    <w:pPr>
      <w:ind w:firstLineChars="200" w:firstLine="420"/>
    </w:pPr>
    <w:rPr>
      <w:rFonts w:ascii="Times New Roman" w:eastAsia="宋体" w:hAnsi="Times New Roman" w:cs="Times New Roman"/>
      <w:szCs w:val="24"/>
    </w:rPr>
  </w:style>
  <w:style w:type="paragraph" w:styleId="ab">
    <w:name w:val="Balloon Text"/>
    <w:basedOn w:val="a"/>
    <w:link w:val="ac"/>
    <w:uiPriority w:val="99"/>
    <w:semiHidden/>
    <w:unhideWhenUsed/>
    <w:rsid w:val="00892C7F"/>
    <w:rPr>
      <w:sz w:val="18"/>
      <w:szCs w:val="18"/>
    </w:rPr>
  </w:style>
  <w:style w:type="character" w:customStyle="1" w:styleId="ac">
    <w:name w:val="批注框文本 字符"/>
    <w:basedOn w:val="a0"/>
    <w:link w:val="ab"/>
    <w:uiPriority w:val="99"/>
    <w:semiHidden/>
    <w:rsid w:val="00892C7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02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87DCB-43C1-420B-B582-E91C3E02F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3518</TotalTime>
  <Pages>1</Pages>
  <Words>186</Words>
  <Characters>1066</Characters>
  <Application>Microsoft Office Word</Application>
  <DocSecurity>0</DocSecurity>
  <Lines>8</Lines>
  <Paragraphs>2</Paragraphs>
  <ScaleCrop>false</ScaleCrop>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赵海波</dc:creator>
  <cp:lastModifiedBy>赵海波</cp:lastModifiedBy>
  <cp:revision>141</cp:revision>
  <cp:lastPrinted>2025-03-11T01:25:00Z</cp:lastPrinted>
  <dcterms:created xsi:type="dcterms:W3CDTF">2021-05-13T10:19:00Z</dcterms:created>
  <dcterms:modified xsi:type="dcterms:W3CDTF">2025-03-27T07:39:00Z</dcterms:modified>
</cp:coreProperties>
</file>