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29" w:rsidRDefault="00652529" w:rsidP="00F566F5">
      <w:pPr>
        <w:spacing w:line="560" w:lineRule="exact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 w:rsidR="00CC7BEC">
        <w:rPr>
          <w:rFonts w:ascii="宋体" w:hAnsi="宋体" w:cs="宋体"/>
          <w:b/>
          <w:bCs/>
          <w:sz w:val="24"/>
        </w:rPr>
        <w:t>2</w:t>
      </w:r>
      <w:r w:rsidR="000A44F8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/>
          <w:b/>
          <w:bCs/>
          <w:sz w:val="24"/>
        </w:rPr>
        <w:t>-</w:t>
      </w:r>
      <w:r w:rsidR="008932B7">
        <w:rPr>
          <w:rFonts w:ascii="宋体" w:hAnsi="宋体" w:cs="宋体"/>
          <w:b/>
          <w:bCs/>
          <w:sz w:val="24"/>
        </w:rPr>
        <w:t>0</w:t>
      </w:r>
      <w:r w:rsidR="007C37F8">
        <w:rPr>
          <w:rFonts w:ascii="宋体" w:hAnsi="宋体" w:cs="宋体"/>
          <w:b/>
          <w:bCs/>
          <w:sz w:val="24"/>
        </w:rPr>
        <w:t>49</w:t>
      </w:r>
    </w:p>
    <w:p w:rsidR="00652529" w:rsidRPr="006C69EC" w:rsidRDefault="00652529" w:rsidP="00F566F5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6C69EC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52529" w:rsidRPr="00F74467" w:rsidRDefault="00804F5C" w:rsidP="00F566F5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 w:rsidR="007C37F8">
        <w:rPr>
          <w:rFonts w:eastAsia="黑体" w:hint="eastAsia"/>
          <w:b/>
          <w:color w:val="FF0000"/>
          <w:sz w:val="36"/>
          <w:szCs w:val="36"/>
        </w:rPr>
        <w:t>钱营孜发电公司存续分立</w:t>
      </w:r>
      <w:r>
        <w:rPr>
          <w:rFonts w:eastAsia="黑体" w:hint="eastAsia"/>
          <w:b/>
          <w:color w:val="FF0000"/>
          <w:sz w:val="36"/>
          <w:szCs w:val="36"/>
        </w:rPr>
        <w:t>的</w:t>
      </w:r>
      <w:r w:rsidR="00652529">
        <w:rPr>
          <w:rFonts w:eastAsia="黑体" w:hint="eastAsia"/>
          <w:b/>
          <w:color w:val="FF0000"/>
          <w:sz w:val="36"/>
          <w:szCs w:val="36"/>
        </w:rPr>
        <w:t>公告</w:t>
      </w:r>
    </w:p>
    <w:p w:rsidR="00652529" w:rsidRDefault="00652529" w:rsidP="00F566F5">
      <w:pPr>
        <w:spacing w:line="560" w:lineRule="exact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7C37F8" w:rsidRPr="007C37F8" w:rsidRDefault="007C37F8" w:rsidP="00825626">
      <w:pPr>
        <w:autoSpaceDE w:val="0"/>
        <w:autoSpaceDN w:val="0"/>
        <w:adjustRightInd w:val="0"/>
        <w:spacing w:beforeLines="100" w:before="312"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bookmarkStart w:id="0" w:name="_Hlk54341232"/>
      <w:r w:rsidRPr="007C37F8">
        <w:rPr>
          <w:rFonts w:ascii="宋体" w:hAnsi="宋体" w:hint="eastAsia"/>
          <w:sz w:val="28"/>
          <w:szCs w:val="28"/>
        </w:rPr>
        <w:t>2025年11月</w:t>
      </w:r>
      <w:r>
        <w:rPr>
          <w:rFonts w:ascii="宋体" w:hAnsi="宋体"/>
          <w:sz w:val="28"/>
          <w:szCs w:val="28"/>
        </w:rPr>
        <w:t>7</w:t>
      </w:r>
      <w:r w:rsidRPr="007C37F8">
        <w:rPr>
          <w:rFonts w:ascii="宋体" w:hAnsi="宋体" w:hint="eastAsia"/>
          <w:sz w:val="28"/>
          <w:szCs w:val="28"/>
        </w:rPr>
        <w:t>日，公司</w:t>
      </w:r>
      <w:r>
        <w:rPr>
          <w:rFonts w:ascii="宋体" w:hAnsi="宋体" w:hint="eastAsia"/>
          <w:sz w:val="28"/>
          <w:szCs w:val="28"/>
        </w:rPr>
        <w:t>第八届董事会第二十次会议审议</w:t>
      </w:r>
      <w:r w:rsidRPr="007C37F8">
        <w:rPr>
          <w:rFonts w:ascii="宋体" w:hAnsi="宋体" w:hint="eastAsia"/>
          <w:sz w:val="28"/>
          <w:szCs w:val="28"/>
        </w:rPr>
        <w:t>通过了《关于安徽钱营孜发电有限公司存续分立的议案》，同意公司子公司安徽钱营孜发电有限公司（简称“钱营孜</w:t>
      </w:r>
      <w:r>
        <w:rPr>
          <w:rFonts w:ascii="宋体" w:hAnsi="宋体" w:hint="eastAsia"/>
          <w:sz w:val="28"/>
          <w:szCs w:val="28"/>
        </w:rPr>
        <w:t>发电</w:t>
      </w:r>
      <w:r w:rsidRPr="007C37F8">
        <w:rPr>
          <w:rFonts w:ascii="宋体" w:hAnsi="宋体" w:hint="eastAsia"/>
          <w:sz w:val="28"/>
          <w:szCs w:val="28"/>
        </w:rPr>
        <w:t>公司”）实施存续分立。现将有关情况公告如下：</w:t>
      </w:r>
    </w:p>
    <w:p w:rsidR="007C37F8" w:rsidRPr="00825626" w:rsidRDefault="007C37F8" w:rsidP="00825626">
      <w:pPr>
        <w:autoSpaceDE w:val="0"/>
        <w:autoSpaceDN w:val="0"/>
        <w:adjustRightInd w:val="0"/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5626">
        <w:rPr>
          <w:rFonts w:ascii="宋体" w:hAnsi="宋体" w:hint="eastAsia"/>
          <w:b/>
          <w:sz w:val="28"/>
          <w:szCs w:val="28"/>
        </w:rPr>
        <w:t>一、分立情况概述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为优化公司管理架构，合理配置资源，提升运营效率，促进业务协同发展，</w:t>
      </w:r>
      <w:bookmarkStart w:id="1" w:name="OLE_LINK1"/>
      <w:bookmarkStart w:id="2" w:name="OLE_LINK2"/>
      <w:r w:rsidR="00BC53A9">
        <w:rPr>
          <w:rFonts w:ascii="宋体" w:hAnsi="宋体" w:hint="eastAsia"/>
          <w:sz w:val="28"/>
          <w:szCs w:val="28"/>
        </w:rPr>
        <w:t>拟对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 w:hint="eastAsia"/>
          <w:sz w:val="28"/>
          <w:szCs w:val="28"/>
        </w:rPr>
        <w:t>进行</w:t>
      </w:r>
      <w:r>
        <w:rPr>
          <w:rFonts w:ascii="宋体" w:hAnsi="宋体" w:hint="eastAsia"/>
          <w:sz w:val="28"/>
          <w:szCs w:val="28"/>
        </w:rPr>
        <w:t>存续</w:t>
      </w:r>
      <w:r w:rsidRPr="007C37F8">
        <w:rPr>
          <w:rFonts w:ascii="宋体" w:hAnsi="宋体" w:hint="eastAsia"/>
          <w:sz w:val="28"/>
          <w:szCs w:val="28"/>
        </w:rPr>
        <w:t>分立，分立完成后，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 w:hint="eastAsia"/>
          <w:sz w:val="28"/>
          <w:szCs w:val="28"/>
        </w:rPr>
        <w:t>继续存续，另派生</w:t>
      </w:r>
      <w:r w:rsidR="00886785">
        <w:rPr>
          <w:rFonts w:ascii="宋体" w:hAnsi="宋体" w:hint="eastAsia"/>
          <w:sz w:val="28"/>
          <w:szCs w:val="28"/>
        </w:rPr>
        <w:t>新设一</w:t>
      </w:r>
      <w:r w:rsidRPr="007C37F8">
        <w:rPr>
          <w:rFonts w:ascii="宋体" w:hAnsi="宋体" w:hint="eastAsia"/>
          <w:sz w:val="28"/>
          <w:szCs w:val="28"/>
        </w:rPr>
        <w:t>家子公司。</w:t>
      </w:r>
      <w:bookmarkEnd w:id="1"/>
      <w:bookmarkEnd w:id="2"/>
    </w:p>
    <w:p w:rsid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本次存续分立事项不构成关联交易，亦不构成重大资产重组</w:t>
      </w:r>
      <w:r w:rsidRPr="007C37F8">
        <w:rPr>
          <w:rFonts w:ascii="宋体" w:hAnsi="宋体" w:hint="eastAsia"/>
          <w:sz w:val="28"/>
          <w:szCs w:val="28"/>
        </w:rPr>
        <w:t>，本次分立事项在公司董事会审议权限范围内，无需提交公司股东</w:t>
      </w:r>
      <w:r>
        <w:rPr>
          <w:rFonts w:ascii="宋体" w:hAnsi="宋体" w:hint="eastAsia"/>
          <w:sz w:val="28"/>
          <w:szCs w:val="28"/>
        </w:rPr>
        <w:t>大</w:t>
      </w:r>
      <w:r w:rsidRPr="007C37F8">
        <w:rPr>
          <w:rFonts w:ascii="宋体" w:hAnsi="宋体" w:hint="eastAsia"/>
          <w:sz w:val="28"/>
          <w:szCs w:val="28"/>
        </w:rPr>
        <w:t>会审议。</w:t>
      </w:r>
    </w:p>
    <w:p w:rsidR="007C37F8" w:rsidRPr="00825626" w:rsidRDefault="007C37F8" w:rsidP="00825626">
      <w:pPr>
        <w:autoSpaceDE w:val="0"/>
        <w:autoSpaceDN w:val="0"/>
        <w:adjustRightInd w:val="0"/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5626">
        <w:rPr>
          <w:rFonts w:ascii="宋体" w:hAnsi="宋体" w:hint="eastAsia"/>
          <w:b/>
          <w:sz w:val="28"/>
          <w:szCs w:val="28"/>
        </w:rPr>
        <w:t>二、分立前基本情况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（一）公司名称：安徽钱营孜发电有限公司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（二）统一社会信用代码：913413000772235445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（三）类型：其他有限责任公司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（四）注册地址：安徽省宿州市埇桥区桃园镇钱营孜煤矿</w:t>
      </w:r>
    </w:p>
    <w:p w:rsidR="007C37F8" w:rsidRPr="007C37F8" w:rsidRDefault="002E4676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（五）法定</w:t>
      </w:r>
      <w:r w:rsidR="007C37F8" w:rsidRPr="007C37F8">
        <w:rPr>
          <w:rFonts w:ascii="宋体" w:hAnsi="宋体" w:hint="eastAsia"/>
          <w:sz w:val="28"/>
          <w:szCs w:val="28"/>
        </w:rPr>
        <w:t>代表人：刘杰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（六）注册资本：157</w:t>
      </w:r>
      <w:r w:rsidR="00825626">
        <w:rPr>
          <w:rFonts w:ascii="宋体" w:hAnsi="宋体"/>
          <w:sz w:val="28"/>
          <w:szCs w:val="28"/>
        </w:rPr>
        <w:t>,</w:t>
      </w:r>
      <w:r w:rsidRPr="007C37F8">
        <w:rPr>
          <w:rFonts w:ascii="宋体" w:hAnsi="宋体" w:hint="eastAsia"/>
          <w:sz w:val="28"/>
          <w:szCs w:val="28"/>
        </w:rPr>
        <w:t>200万元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（七）成立日期：2013年8月28日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（八）经营范围：建设经营2x350MW低热值煤发电项目及后续项</w:t>
      </w:r>
      <w:r w:rsidRPr="007C37F8">
        <w:rPr>
          <w:rFonts w:ascii="宋体" w:hAnsi="宋体" w:hint="eastAsia"/>
          <w:sz w:val="28"/>
          <w:szCs w:val="28"/>
        </w:rPr>
        <w:lastRenderedPageBreak/>
        <w:t>目，电（热）能的生产和销售；电厂废弃物的综合利用及经营；电力技术咨询、服务；电力物资、设备采购和销售；（依法须经批准的项目，经相关部门批准后方可开展经营活动）。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（九）股权结构：公司持有其50%股权，</w:t>
      </w:r>
      <w:r>
        <w:rPr>
          <w:rFonts w:ascii="宋体" w:hAnsi="宋体" w:hint="eastAsia"/>
          <w:sz w:val="28"/>
          <w:szCs w:val="28"/>
        </w:rPr>
        <w:t>安徽省皖能股份有限公司</w:t>
      </w:r>
      <w:r w:rsidRPr="007C37F8">
        <w:rPr>
          <w:rFonts w:ascii="宋体" w:hAnsi="宋体" w:hint="eastAsia"/>
          <w:sz w:val="28"/>
          <w:szCs w:val="28"/>
        </w:rPr>
        <w:t>持有其50%股权。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（十）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 w:hint="eastAsia"/>
          <w:sz w:val="28"/>
          <w:szCs w:val="28"/>
        </w:rPr>
        <w:t>最近一年</w:t>
      </w:r>
      <w:r w:rsidR="002E4676">
        <w:rPr>
          <w:rFonts w:ascii="宋体" w:hAnsi="宋体" w:hint="eastAsia"/>
          <w:sz w:val="28"/>
          <w:szCs w:val="28"/>
        </w:rPr>
        <w:t>经审计</w:t>
      </w:r>
      <w:r w:rsidRPr="007C37F8">
        <w:rPr>
          <w:rFonts w:ascii="宋体" w:hAnsi="宋体" w:hint="eastAsia"/>
          <w:sz w:val="28"/>
          <w:szCs w:val="28"/>
        </w:rPr>
        <w:t>的主要财务数据：</w:t>
      </w:r>
    </w:p>
    <w:p w:rsidR="007C37F8" w:rsidRPr="007C37F8" w:rsidRDefault="007C37F8" w:rsidP="00825626">
      <w:pPr>
        <w:pStyle w:val="a9"/>
        <w:spacing w:line="500" w:lineRule="exact"/>
        <w:ind w:firstLine="560"/>
        <w:jc w:val="right"/>
        <w:rPr>
          <w:rFonts w:ascii="宋体" w:eastAsia="宋体" w:hAnsi="宋体"/>
          <w:sz w:val="28"/>
          <w:szCs w:val="28"/>
        </w:rPr>
      </w:pPr>
      <w:r w:rsidRPr="007C37F8">
        <w:rPr>
          <w:rFonts w:ascii="宋体" w:eastAsia="宋体" w:hAnsi="宋体" w:hint="eastAsia"/>
          <w:sz w:val="28"/>
          <w:szCs w:val="28"/>
        </w:rPr>
        <w:t>单位：万元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509"/>
        <w:gridCol w:w="5013"/>
      </w:tblGrid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项目</w:t>
            </w:r>
          </w:p>
        </w:tc>
        <w:tc>
          <w:tcPr>
            <w:tcW w:w="2941" w:type="pct"/>
          </w:tcPr>
          <w:p w:rsidR="002E4676" w:rsidRPr="007C37F8" w:rsidRDefault="002E4676" w:rsidP="002E46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2024年12月31日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资产总额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/>
                <w:kern w:val="2"/>
                <w:sz w:val="28"/>
                <w:szCs w:val="28"/>
              </w:rPr>
              <w:t>556,580.55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负债总额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/>
                <w:kern w:val="2"/>
                <w:sz w:val="28"/>
                <w:szCs w:val="28"/>
              </w:rPr>
              <w:t>387,768.94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净资产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/>
                <w:kern w:val="2"/>
                <w:sz w:val="28"/>
                <w:szCs w:val="28"/>
              </w:rPr>
              <w:t>168,811.61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项目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2024年度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营业收入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/>
                <w:kern w:val="2"/>
                <w:sz w:val="28"/>
                <w:szCs w:val="28"/>
              </w:rPr>
              <w:t>125,290.61</w:t>
            </w:r>
          </w:p>
        </w:tc>
      </w:tr>
      <w:tr w:rsidR="002E4676" w:rsidRPr="007C37F8" w:rsidTr="002E4676">
        <w:tc>
          <w:tcPr>
            <w:tcW w:w="2059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净利润</w:t>
            </w:r>
          </w:p>
        </w:tc>
        <w:tc>
          <w:tcPr>
            <w:tcW w:w="2941" w:type="pct"/>
          </w:tcPr>
          <w:p w:rsidR="002E4676" w:rsidRPr="007C37F8" w:rsidRDefault="002E4676" w:rsidP="008256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/>
                <w:kern w:val="2"/>
                <w:sz w:val="28"/>
                <w:szCs w:val="28"/>
              </w:rPr>
              <w:t>10,080.05</w:t>
            </w:r>
          </w:p>
        </w:tc>
      </w:tr>
    </w:tbl>
    <w:p w:rsidR="007C37F8" w:rsidRPr="00825626" w:rsidRDefault="007C37F8" w:rsidP="00825626">
      <w:pPr>
        <w:autoSpaceDE w:val="0"/>
        <w:autoSpaceDN w:val="0"/>
        <w:adjustRightInd w:val="0"/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5626">
        <w:rPr>
          <w:rFonts w:ascii="宋体" w:hAnsi="宋体" w:hint="eastAsia"/>
          <w:b/>
          <w:sz w:val="28"/>
          <w:szCs w:val="28"/>
        </w:rPr>
        <w:t>三、分立方案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（一）分立方式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/>
          <w:sz w:val="28"/>
          <w:szCs w:val="28"/>
        </w:rPr>
        <w:t>本次分立采用存续分立的形式，分立完成后，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/>
          <w:sz w:val="28"/>
          <w:szCs w:val="28"/>
        </w:rPr>
        <w:t>继续存续，另派生</w:t>
      </w:r>
      <w:r w:rsidR="00886785">
        <w:rPr>
          <w:rFonts w:ascii="宋体" w:hAnsi="宋体" w:hint="eastAsia"/>
          <w:sz w:val="28"/>
          <w:szCs w:val="28"/>
        </w:rPr>
        <w:t>新设</w:t>
      </w:r>
      <w:bookmarkStart w:id="3" w:name="OLE_LINK3"/>
      <w:bookmarkStart w:id="4" w:name="OLE_LINK4"/>
      <w:bookmarkStart w:id="5" w:name="_GoBack"/>
      <w:r w:rsidRPr="007C37F8">
        <w:rPr>
          <w:rFonts w:ascii="宋体" w:hAnsi="宋体"/>
          <w:sz w:val="28"/>
          <w:szCs w:val="28"/>
        </w:rPr>
        <w:t>安徽钱营孜</w:t>
      </w:r>
      <w:r w:rsidR="00DC706E">
        <w:rPr>
          <w:rFonts w:ascii="宋体" w:hAnsi="宋体" w:hint="eastAsia"/>
          <w:sz w:val="28"/>
          <w:szCs w:val="28"/>
        </w:rPr>
        <w:t>（</w:t>
      </w:r>
      <w:r w:rsidRPr="007C37F8">
        <w:rPr>
          <w:rFonts w:ascii="宋体" w:hAnsi="宋体"/>
          <w:sz w:val="28"/>
          <w:szCs w:val="28"/>
        </w:rPr>
        <w:t>第二</w:t>
      </w:r>
      <w:r w:rsidR="00DC706E">
        <w:rPr>
          <w:rFonts w:ascii="宋体" w:hAnsi="宋体" w:hint="eastAsia"/>
          <w:sz w:val="28"/>
          <w:szCs w:val="28"/>
        </w:rPr>
        <w:t>）</w:t>
      </w:r>
      <w:r w:rsidRPr="007C37F8">
        <w:rPr>
          <w:rFonts w:ascii="宋体" w:hAnsi="宋体"/>
          <w:sz w:val="28"/>
          <w:szCs w:val="28"/>
        </w:rPr>
        <w:t>发电有限公司（暂定名</w:t>
      </w:r>
      <w:bookmarkEnd w:id="3"/>
      <w:bookmarkEnd w:id="4"/>
      <w:bookmarkEnd w:id="5"/>
      <w:r w:rsidRPr="007C37F8">
        <w:rPr>
          <w:rFonts w:ascii="宋体" w:hAnsi="宋体"/>
          <w:sz w:val="28"/>
          <w:szCs w:val="28"/>
        </w:rPr>
        <w:t>，最终以市场监督管理部门核准的名称为准，以下简称“新设公司”）。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（二）分立前后各子公司的注册资本、股权结构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bookmarkStart w:id="6" w:name="_Toc20791"/>
      <w:bookmarkStart w:id="7" w:name="_Toc12669"/>
      <w:bookmarkStart w:id="8" w:name="_Toc29843"/>
      <w:r w:rsidRPr="007C37F8">
        <w:rPr>
          <w:rFonts w:ascii="宋体" w:hAnsi="宋体" w:hint="eastAsia"/>
          <w:sz w:val="28"/>
          <w:szCs w:val="28"/>
        </w:rPr>
        <w:t>1.分立前，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 w:hint="eastAsia"/>
          <w:sz w:val="28"/>
          <w:szCs w:val="28"/>
        </w:rPr>
        <w:t>的注册资本及股权结构</w:t>
      </w:r>
      <w:bookmarkEnd w:id="6"/>
      <w:bookmarkEnd w:id="7"/>
      <w:bookmarkEnd w:id="8"/>
    </w:p>
    <w:tbl>
      <w:tblPr>
        <w:tblW w:w="88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3670"/>
        <w:gridCol w:w="2165"/>
        <w:gridCol w:w="2040"/>
      </w:tblGrid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股东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出资金额（万元）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出资比例（%）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安徽省皖能股份有限公司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78,600.00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安徽恒源煤电股份有限公司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78,600.00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4679" w:type="dxa"/>
            <w:gridSpan w:val="2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157,200.00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100.00</w:t>
            </w:r>
          </w:p>
        </w:tc>
      </w:tr>
    </w:tbl>
    <w:p w:rsidR="007C37F8" w:rsidRPr="007C37F8" w:rsidRDefault="007C37F8" w:rsidP="007C37F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bookmarkStart w:id="9" w:name="_Toc12668"/>
      <w:bookmarkStart w:id="10" w:name="_Toc17525"/>
      <w:bookmarkStart w:id="11" w:name="_Toc25793"/>
      <w:r w:rsidRPr="007C37F8">
        <w:rPr>
          <w:rFonts w:ascii="宋体" w:hAnsi="宋体" w:hint="eastAsia"/>
          <w:sz w:val="28"/>
          <w:szCs w:val="28"/>
        </w:rPr>
        <w:t>2.分立后，</w:t>
      </w:r>
      <w:r>
        <w:rPr>
          <w:rFonts w:ascii="宋体" w:hAnsi="宋体" w:hint="eastAsia"/>
          <w:sz w:val="28"/>
          <w:szCs w:val="28"/>
        </w:rPr>
        <w:t>钱营孜发电公司</w:t>
      </w:r>
      <w:r w:rsidRPr="007C37F8">
        <w:rPr>
          <w:rFonts w:ascii="宋体" w:hAnsi="宋体" w:hint="eastAsia"/>
          <w:sz w:val="28"/>
          <w:szCs w:val="28"/>
        </w:rPr>
        <w:t>的注册资本及</w:t>
      </w:r>
      <w:bookmarkEnd w:id="9"/>
      <w:bookmarkEnd w:id="10"/>
      <w:bookmarkEnd w:id="11"/>
      <w:r w:rsidRPr="007C37F8">
        <w:rPr>
          <w:rFonts w:ascii="宋体" w:hAnsi="宋体" w:hint="eastAsia"/>
          <w:sz w:val="28"/>
          <w:szCs w:val="28"/>
        </w:rPr>
        <w:t>股权结构</w:t>
      </w:r>
    </w:p>
    <w:tbl>
      <w:tblPr>
        <w:tblW w:w="88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3670"/>
        <w:gridCol w:w="2165"/>
        <w:gridCol w:w="2040"/>
      </w:tblGrid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股东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出资金额（万元）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出资比例（%）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安徽省皖能股份有限公司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31,200.00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安徽恒源煤电股份有限公司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31,200.00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4679" w:type="dxa"/>
            <w:gridSpan w:val="2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62,400.00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100.00</w:t>
            </w:r>
          </w:p>
        </w:tc>
      </w:tr>
    </w:tbl>
    <w:p w:rsidR="007C37F8" w:rsidRPr="007C37F8" w:rsidRDefault="007C37F8" w:rsidP="007C37F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bookmarkStart w:id="12" w:name="_Toc1151"/>
      <w:bookmarkStart w:id="13" w:name="_Toc26175"/>
      <w:bookmarkStart w:id="14" w:name="_Toc19585"/>
      <w:r w:rsidRPr="007C37F8">
        <w:rPr>
          <w:rFonts w:ascii="宋体" w:hAnsi="宋体" w:hint="eastAsia"/>
          <w:sz w:val="28"/>
          <w:szCs w:val="28"/>
        </w:rPr>
        <w:t>3.分立后，新设公司的注册资本及</w:t>
      </w:r>
      <w:bookmarkEnd w:id="12"/>
      <w:bookmarkEnd w:id="13"/>
      <w:bookmarkEnd w:id="14"/>
      <w:r w:rsidRPr="007C37F8">
        <w:rPr>
          <w:rFonts w:ascii="宋体" w:hAnsi="宋体" w:hint="eastAsia"/>
          <w:sz w:val="28"/>
          <w:szCs w:val="28"/>
        </w:rPr>
        <w:t>股权结构</w:t>
      </w:r>
    </w:p>
    <w:tbl>
      <w:tblPr>
        <w:tblW w:w="88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3670"/>
        <w:gridCol w:w="2165"/>
        <w:gridCol w:w="2040"/>
      </w:tblGrid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股东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出资金额（万元）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出资比例（%）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安徽省皖能股份有限公司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47,400.00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1009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7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安徽恒源煤电股份有限公司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47,400.00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50.00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4679" w:type="dxa"/>
            <w:gridSpan w:val="2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2165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94,800.00</w:t>
            </w:r>
          </w:p>
        </w:tc>
        <w:tc>
          <w:tcPr>
            <w:tcW w:w="2040" w:type="dxa"/>
            <w:vAlign w:val="center"/>
          </w:tcPr>
          <w:p w:rsidR="007C37F8" w:rsidRPr="007C37F8" w:rsidRDefault="007C37F8" w:rsidP="0082562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sz w:val="28"/>
                <w:szCs w:val="28"/>
              </w:rPr>
              <w:t>100.00</w:t>
            </w:r>
          </w:p>
        </w:tc>
      </w:tr>
    </w:tbl>
    <w:p w:rsidR="007C37F8" w:rsidRPr="007C37F8" w:rsidRDefault="007C37F8" w:rsidP="00825626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业务划分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钱营孜发电公司</w:t>
      </w:r>
      <w:r w:rsidRPr="007C37F8">
        <w:rPr>
          <w:rFonts w:ascii="宋体" w:hAnsi="宋体"/>
          <w:sz w:val="28"/>
          <w:szCs w:val="28"/>
        </w:rPr>
        <w:t>经营业务将在现有一期项目机组设施上继续从事电力、热力生产和供应等。新设公司将承接</w:t>
      </w:r>
      <w:r>
        <w:rPr>
          <w:rFonts w:ascii="宋体" w:hAnsi="宋体"/>
          <w:sz w:val="28"/>
          <w:szCs w:val="28"/>
        </w:rPr>
        <w:t>钱营孜发电公司</w:t>
      </w:r>
      <w:r w:rsidR="002E4676">
        <w:rPr>
          <w:rFonts w:ascii="宋体" w:hAnsi="宋体"/>
          <w:sz w:val="28"/>
          <w:szCs w:val="28"/>
        </w:rPr>
        <w:t>二期扩建项目，经营业务为：</w:t>
      </w:r>
      <w:r w:rsidRPr="007C37F8">
        <w:rPr>
          <w:rFonts w:ascii="宋体" w:hAnsi="宋体"/>
          <w:sz w:val="28"/>
          <w:szCs w:val="28"/>
        </w:rPr>
        <w:t>建设经营1×1000MW燃煤发电项目及后续项目，电（热）能的生产和销售；电厂废弃物的</w:t>
      </w:r>
      <w:r w:rsidR="002E4676">
        <w:rPr>
          <w:rFonts w:ascii="宋体" w:hAnsi="宋体"/>
          <w:sz w:val="28"/>
          <w:szCs w:val="28"/>
        </w:rPr>
        <w:t>综合利用及经营；电力技术咨询、服务；电力物资、设备采购和销售。</w:t>
      </w:r>
      <w:r w:rsidRPr="007C37F8">
        <w:rPr>
          <w:rFonts w:ascii="宋体" w:hAnsi="宋体"/>
          <w:sz w:val="28"/>
          <w:szCs w:val="28"/>
        </w:rPr>
        <w:t>（经营范围以市场监督管理部门核准登记为准）。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（四）资产、负债及权益分割</w:t>
      </w:r>
    </w:p>
    <w:p w:rsidR="007C37F8" w:rsidRPr="007C37F8" w:rsidRDefault="00DC706E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</w:t>
      </w:r>
      <w:r w:rsidR="007C37F8" w:rsidRPr="007C37F8">
        <w:rPr>
          <w:rFonts w:ascii="宋体" w:hAnsi="宋体" w:hint="eastAsia"/>
          <w:sz w:val="28"/>
          <w:szCs w:val="28"/>
        </w:rPr>
        <w:t>2025年10月1日为分立基准日，</w:t>
      </w:r>
      <w:r w:rsidR="00154054" w:rsidRPr="007344C8">
        <w:rPr>
          <w:rFonts w:ascii="宋体" w:hAnsi="宋体" w:hint="eastAsia"/>
          <w:sz w:val="28"/>
          <w:szCs w:val="28"/>
        </w:rPr>
        <w:t>依据专项审计报告，</w:t>
      </w:r>
      <w:r w:rsidR="007C37F8" w:rsidRPr="007C37F8">
        <w:rPr>
          <w:rFonts w:ascii="宋体" w:hAnsi="宋体" w:hint="eastAsia"/>
          <w:sz w:val="28"/>
          <w:szCs w:val="28"/>
        </w:rPr>
        <w:t>对</w:t>
      </w:r>
      <w:r w:rsidR="007C37F8">
        <w:rPr>
          <w:rFonts w:ascii="宋体" w:hAnsi="宋体" w:hint="eastAsia"/>
          <w:sz w:val="28"/>
          <w:szCs w:val="28"/>
        </w:rPr>
        <w:t>钱营孜发电公司</w:t>
      </w:r>
      <w:r w:rsidR="007C37F8" w:rsidRPr="007C37F8">
        <w:rPr>
          <w:rFonts w:ascii="宋体" w:hAnsi="宋体" w:hint="eastAsia"/>
          <w:sz w:val="28"/>
          <w:szCs w:val="28"/>
        </w:rPr>
        <w:t>的资产（含实收资本）及负债在分立后的两家公司进行分割，经过分割和调整，</w:t>
      </w:r>
      <w:r w:rsidR="007C37F8">
        <w:rPr>
          <w:rFonts w:ascii="宋体" w:hAnsi="宋体" w:hint="eastAsia"/>
          <w:sz w:val="28"/>
          <w:szCs w:val="28"/>
        </w:rPr>
        <w:t>钱营孜发电公司</w:t>
      </w:r>
      <w:r w:rsidR="007C37F8" w:rsidRPr="007C37F8">
        <w:rPr>
          <w:rFonts w:ascii="宋体" w:hAnsi="宋体" w:hint="eastAsia"/>
          <w:sz w:val="28"/>
          <w:szCs w:val="28"/>
        </w:rPr>
        <w:t>和新设公司各自的资产总额、负债总额和所有者权益分别如下：</w:t>
      </w:r>
    </w:p>
    <w:p w:rsidR="007C37F8" w:rsidRPr="007C37F8" w:rsidRDefault="007C37F8" w:rsidP="007C37F8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 xml:space="preserve">                   </w:t>
      </w:r>
      <w:r w:rsidR="00825626">
        <w:rPr>
          <w:rFonts w:ascii="宋体" w:hAnsi="宋体" w:hint="eastAsia"/>
          <w:sz w:val="28"/>
          <w:szCs w:val="28"/>
        </w:rPr>
        <w:t xml:space="preserve">                           </w:t>
      </w:r>
      <w:r w:rsidRPr="007C37F8">
        <w:rPr>
          <w:rFonts w:ascii="宋体" w:hAnsi="宋体" w:hint="eastAsia"/>
          <w:sz w:val="28"/>
          <w:szCs w:val="28"/>
        </w:rPr>
        <w:t>单位：</w:t>
      </w:r>
      <w:r w:rsidR="00B94F60">
        <w:rPr>
          <w:rFonts w:ascii="宋体" w:hAnsi="宋体" w:hint="eastAsia"/>
          <w:sz w:val="28"/>
          <w:szCs w:val="28"/>
        </w:rPr>
        <w:t>万</w:t>
      </w:r>
      <w:r w:rsidRPr="007C37F8">
        <w:rPr>
          <w:rFonts w:ascii="宋体" w:hAnsi="宋体" w:hint="eastAsia"/>
          <w:sz w:val="28"/>
          <w:szCs w:val="28"/>
        </w:rPr>
        <w:t>元</w:t>
      </w:r>
    </w:p>
    <w:tbl>
      <w:tblPr>
        <w:tblStyle w:val="1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231"/>
        <w:gridCol w:w="2408"/>
        <w:gridCol w:w="2410"/>
      </w:tblGrid>
      <w:tr w:rsidR="007C37F8" w:rsidRPr="007C37F8" w:rsidTr="006749BE">
        <w:trPr>
          <w:trHeight w:val="510"/>
          <w:jc w:val="center"/>
        </w:trPr>
        <w:tc>
          <w:tcPr>
            <w:tcW w:w="2091" w:type="dxa"/>
            <w:vMerge w:val="restart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项目</w:t>
            </w:r>
          </w:p>
        </w:tc>
        <w:tc>
          <w:tcPr>
            <w:tcW w:w="2231" w:type="dxa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分立前</w:t>
            </w:r>
          </w:p>
        </w:tc>
        <w:tc>
          <w:tcPr>
            <w:tcW w:w="4818" w:type="dxa"/>
            <w:gridSpan w:val="2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分立后</w:t>
            </w:r>
          </w:p>
        </w:tc>
      </w:tr>
      <w:tr w:rsidR="007C37F8" w:rsidRPr="007C37F8" w:rsidTr="006749BE">
        <w:trPr>
          <w:trHeight w:val="510"/>
          <w:jc w:val="center"/>
        </w:trPr>
        <w:tc>
          <w:tcPr>
            <w:tcW w:w="2091" w:type="dxa"/>
            <w:vMerge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钱营孜发电公司</w:t>
            </w:r>
          </w:p>
        </w:tc>
        <w:tc>
          <w:tcPr>
            <w:tcW w:w="2408" w:type="dxa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钱营孜发电公司</w:t>
            </w:r>
          </w:p>
        </w:tc>
        <w:tc>
          <w:tcPr>
            <w:tcW w:w="2410" w:type="dxa"/>
            <w:vAlign w:val="center"/>
          </w:tcPr>
          <w:p w:rsidR="007C37F8" w:rsidRPr="007C37F8" w:rsidRDefault="007C37F8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新设公司</w:t>
            </w:r>
          </w:p>
        </w:tc>
      </w:tr>
      <w:tr w:rsidR="00B94F60" w:rsidRPr="007C37F8" w:rsidTr="00B94F60">
        <w:trPr>
          <w:trHeight w:val="510"/>
          <w:jc w:val="center"/>
        </w:trPr>
        <w:tc>
          <w:tcPr>
            <w:tcW w:w="2091" w:type="dxa"/>
            <w:vAlign w:val="center"/>
          </w:tcPr>
          <w:p w:rsidR="00B94F60" w:rsidRPr="007C37F8" w:rsidRDefault="00B94F60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资产总额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94F60" w:rsidRPr="00B94F60" w:rsidRDefault="00B94F60" w:rsidP="00B94F60">
            <w:pPr>
              <w:widowControl/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614,371.38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210,509.71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403,861.67 </w:t>
            </w:r>
          </w:p>
        </w:tc>
      </w:tr>
      <w:tr w:rsidR="00B94F60" w:rsidRPr="007C37F8" w:rsidTr="00B94F60">
        <w:trPr>
          <w:trHeight w:val="510"/>
          <w:jc w:val="center"/>
        </w:trPr>
        <w:tc>
          <w:tcPr>
            <w:tcW w:w="2091" w:type="dxa"/>
            <w:vAlign w:val="center"/>
          </w:tcPr>
          <w:p w:rsidR="00B94F60" w:rsidRPr="007C37F8" w:rsidRDefault="00B94F60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负债总额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440,961.35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131,899.68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309,061.67 </w:t>
            </w:r>
          </w:p>
        </w:tc>
      </w:tr>
      <w:tr w:rsidR="00B94F60" w:rsidRPr="007C37F8" w:rsidTr="00B94F60">
        <w:trPr>
          <w:trHeight w:val="510"/>
          <w:jc w:val="center"/>
        </w:trPr>
        <w:tc>
          <w:tcPr>
            <w:tcW w:w="2091" w:type="dxa"/>
            <w:vAlign w:val="center"/>
          </w:tcPr>
          <w:p w:rsidR="00B94F60" w:rsidRPr="007C37F8" w:rsidRDefault="00B94F60" w:rsidP="00B94F60">
            <w:pPr>
              <w:spacing w:line="40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C37F8">
              <w:rPr>
                <w:rFonts w:ascii="宋体" w:hAnsi="宋体" w:hint="eastAsia"/>
                <w:kern w:val="2"/>
                <w:sz w:val="28"/>
                <w:szCs w:val="28"/>
              </w:rPr>
              <w:t>所有者权益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173,410.03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78,610.03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4F60" w:rsidRPr="00B94F60" w:rsidRDefault="00B94F60" w:rsidP="00B94F60">
            <w:pPr>
              <w:spacing w:line="400" w:lineRule="exact"/>
              <w:jc w:val="right"/>
              <w:rPr>
                <w:rFonts w:ascii="宋体" w:hAnsi="宋体"/>
                <w:kern w:val="2"/>
                <w:sz w:val="28"/>
                <w:szCs w:val="28"/>
              </w:rPr>
            </w:pPr>
            <w:r w:rsidRPr="00B94F60">
              <w:rPr>
                <w:rFonts w:ascii="宋体" w:hAnsi="宋体" w:hint="eastAsia"/>
                <w:kern w:val="2"/>
                <w:sz w:val="28"/>
                <w:szCs w:val="28"/>
              </w:rPr>
              <w:t xml:space="preserve">94,800.00 </w:t>
            </w:r>
          </w:p>
        </w:tc>
      </w:tr>
    </w:tbl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lastRenderedPageBreak/>
        <w:t>（五）职工安置情况</w:t>
      </w:r>
    </w:p>
    <w:p w:rsidR="005C0D6E" w:rsidRDefault="005C0D6E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C0D6E">
        <w:rPr>
          <w:rFonts w:ascii="宋体" w:hAnsi="宋体" w:hint="eastAsia"/>
          <w:sz w:val="28"/>
          <w:szCs w:val="28"/>
        </w:rPr>
        <w:t>根据分立协议，另行制定《员工安置方案》，方案具体对人员划分、劳动关系承接、工资总额核定、薪酬福利、社保、企业年金、</w:t>
      </w:r>
      <w:r>
        <w:rPr>
          <w:rFonts w:ascii="宋体" w:hAnsi="宋体" w:hint="eastAsia"/>
          <w:sz w:val="28"/>
          <w:szCs w:val="28"/>
        </w:rPr>
        <w:t>绩效考核等重要事项进行详细规定，不会因分立而损害员工的合法权</w:t>
      </w:r>
      <w:r w:rsidR="00FF5881">
        <w:rPr>
          <w:rFonts w:ascii="宋体" w:hAnsi="宋体" w:hint="eastAsia"/>
          <w:sz w:val="28"/>
          <w:szCs w:val="28"/>
        </w:rPr>
        <w:t>益</w:t>
      </w:r>
      <w:r>
        <w:rPr>
          <w:rFonts w:ascii="宋体" w:hAnsi="宋体" w:hint="eastAsia"/>
          <w:sz w:val="28"/>
          <w:szCs w:val="28"/>
        </w:rPr>
        <w:t>。</w:t>
      </w:r>
    </w:p>
    <w:p w:rsidR="007C37F8" w:rsidRPr="00825626" w:rsidRDefault="007C37F8" w:rsidP="00825626">
      <w:pPr>
        <w:autoSpaceDE w:val="0"/>
        <w:autoSpaceDN w:val="0"/>
        <w:adjustRightInd w:val="0"/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5626">
        <w:rPr>
          <w:rFonts w:ascii="宋体" w:hAnsi="宋体" w:hint="eastAsia"/>
          <w:b/>
          <w:sz w:val="28"/>
          <w:szCs w:val="28"/>
        </w:rPr>
        <w:t>四、本次分立对公司的影响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本次分立符合公司未来发展战略规划，有利于内部资源的整合和优化，提升运营效率。本次分立完成后，不会对公司的经营状况产生不利影响，亦不存在损害公司及股东特别是中小股东利益的情形。</w:t>
      </w:r>
    </w:p>
    <w:p w:rsidR="007C37F8" w:rsidRPr="00825626" w:rsidRDefault="007C37F8" w:rsidP="00825626">
      <w:pPr>
        <w:autoSpaceDE w:val="0"/>
        <w:autoSpaceDN w:val="0"/>
        <w:adjustRightInd w:val="0"/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5626">
        <w:rPr>
          <w:rFonts w:ascii="宋体" w:hAnsi="宋体" w:hint="eastAsia"/>
          <w:b/>
          <w:sz w:val="28"/>
          <w:szCs w:val="28"/>
        </w:rPr>
        <w:t>五、风险提示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本次分立事项尚需取得市场监督管理部门的批准，最终信息以相关部门核准登记为准。敬请广大投资者理性投资，注意投资风险。</w:t>
      </w:r>
    </w:p>
    <w:p w:rsidR="007C37F8" w:rsidRPr="007C37F8" w:rsidRDefault="007C37F8" w:rsidP="00825626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C37F8">
        <w:rPr>
          <w:rFonts w:ascii="宋体" w:hAnsi="宋体" w:hint="eastAsia"/>
          <w:sz w:val="28"/>
          <w:szCs w:val="28"/>
        </w:rPr>
        <w:t>特此公告。</w:t>
      </w:r>
    </w:p>
    <w:bookmarkEnd w:id="0"/>
    <w:p w:rsidR="00652529" w:rsidRPr="00756918" w:rsidRDefault="00652529" w:rsidP="00825626">
      <w:pPr>
        <w:adjustRightInd w:val="0"/>
        <w:snapToGrid w:val="0"/>
        <w:spacing w:line="5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756918">
        <w:rPr>
          <w:rFonts w:ascii="宋体" w:hAnsi="宋体" w:hint="eastAsia"/>
          <w:sz w:val="28"/>
          <w:szCs w:val="28"/>
        </w:rPr>
        <w:t>安徽恒源煤电股份有限公司董事会</w:t>
      </w:r>
    </w:p>
    <w:p w:rsidR="00652529" w:rsidRDefault="00CC7BEC" w:rsidP="00825626">
      <w:pPr>
        <w:adjustRightInd w:val="0"/>
        <w:snapToGrid w:val="0"/>
        <w:spacing w:line="500" w:lineRule="exact"/>
        <w:ind w:right="84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 w:rsidR="00F566F5">
        <w:rPr>
          <w:rFonts w:ascii="宋体" w:hAnsi="宋体"/>
          <w:sz w:val="28"/>
          <w:szCs w:val="28"/>
        </w:rPr>
        <w:t>5</w:t>
      </w:r>
      <w:r w:rsidR="00652529" w:rsidRPr="00756918">
        <w:rPr>
          <w:rFonts w:ascii="宋体" w:hAnsi="宋体" w:hint="eastAsia"/>
          <w:sz w:val="28"/>
          <w:szCs w:val="28"/>
        </w:rPr>
        <w:t>年</w:t>
      </w:r>
      <w:r w:rsidR="007C37F8">
        <w:rPr>
          <w:rFonts w:ascii="宋体" w:hAnsi="宋体"/>
          <w:sz w:val="28"/>
          <w:szCs w:val="28"/>
        </w:rPr>
        <w:t>11</w:t>
      </w:r>
      <w:r w:rsidR="00652529" w:rsidRPr="00756918">
        <w:rPr>
          <w:rFonts w:ascii="宋体" w:hAnsi="宋体" w:hint="eastAsia"/>
          <w:sz w:val="28"/>
          <w:szCs w:val="28"/>
        </w:rPr>
        <w:t>月</w:t>
      </w:r>
      <w:r w:rsidR="007C37F8">
        <w:rPr>
          <w:rFonts w:ascii="宋体" w:hAnsi="宋体"/>
          <w:sz w:val="28"/>
          <w:szCs w:val="28"/>
        </w:rPr>
        <w:t>8</w:t>
      </w:r>
      <w:r w:rsidR="00652529" w:rsidRPr="00756918">
        <w:rPr>
          <w:rFonts w:ascii="宋体" w:hAnsi="宋体" w:hint="eastAsia"/>
          <w:sz w:val="28"/>
          <w:szCs w:val="28"/>
        </w:rPr>
        <w:t>日</w:t>
      </w:r>
      <w:r w:rsidR="00652529">
        <w:rPr>
          <w:rFonts w:ascii="宋体" w:hAnsi="宋体" w:hint="eastAsia"/>
          <w:sz w:val="28"/>
          <w:szCs w:val="28"/>
        </w:rPr>
        <w:t xml:space="preserve">       </w:t>
      </w: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sectPr w:rsidR="00257F16" w:rsidSect="00A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04" w:rsidRDefault="00BA0904" w:rsidP="00652529">
      <w:r>
        <w:separator/>
      </w:r>
    </w:p>
  </w:endnote>
  <w:endnote w:type="continuationSeparator" w:id="0">
    <w:p w:rsidR="00BA0904" w:rsidRDefault="00BA0904" w:rsidP="006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04" w:rsidRDefault="00BA0904" w:rsidP="00652529">
      <w:r>
        <w:separator/>
      </w:r>
    </w:p>
  </w:footnote>
  <w:footnote w:type="continuationSeparator" w:id="0">
    <w:p w:rsidR="00BA0904" w:rsidRDefault="00BA0904" w:rsidP="0065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D041C1"/>
    <w:multiLevelType w:val="singleLevel"/>
    <w:tmpl w:val="ADD041C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F9CED9D"/>
    <w:multiLevelType w:val="singleLevel"/>
    <w:tmpl w:val="7F9CED9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29"/>
    <w:rsid w:val="00027863"/>
    <w:rsid w:val="00040046"/>
    <w:rsid w:val="00091978"/>
    <w:rsid w:val="000A0A0E"/>
    <w:rsid w:val="000A3448"/>
    <w:rsid w:val="000A44F8"/>
    <w:rsid w:val="000B609A"/>
    <w:rsid w:val="000C05C2"/>
    <w:rsid w:val="000C337E"/>
    <w:rsid w:val="000F50C7"/>
    <w:rsid w:val="001404EA"/>
    <w:rsid w:val="00154054"/>
    <w:rsid w:val="001673FC"/>
    <w:rsid w:val="00170056"/>
    <w:rsid w:val="001B2BBF"/>
    <w:rsid w:val="001C6701"/>
    <w:rsid w:val="001D07CA"/>
    <w:rsid w:val="001D48D9"/>
    <w:rsid w:val="001E0590"/>
    <w:rsid w:val="001F3008"/>
    <w:rsid w:val="0020345A"/>
    <w:rsid w:val="00252FEF"/>
    <w:rsid w:val="00257F16"/>
    <w:rsid w:val="002A328F"/>
    <w:rsid w:val="002D6599"/>
    <w:rsid w:val="002E4676"/>
    <w:rsid w:val="002F267A"/>
    <w:rsid w:val="00341D35"/>
    <w:rsid w:val="003571F5"/>
    <w:rsid w:val="00360599"/>
    <w:rsid w:val="003709A4"/>
    <w:rsid w:val="003709CC"/>
    <w:rsid w:val="00376EC1"/>
    <w:rsid w:val="003A7534"/>
    <w:rsid w:val="003E0ECF"/>
    <w:rsid w:val="00417E4D"/>
    <w:rsid w:val="00421622"/>
    <w:rsid w:val="004E34BA"/>
    <w:rsid w:val="004E58FC"/>
    <w:rsid w:val="004F08DD"/>
    <w:rsid w:val="00501D74"/>
    <w:rsid w:val="00532C53"/>
    <w:rsid w:val="00564FA1"/>
    <w:rsid w:val="005917C2"/>
    <w:rsid w:val="00593343"/>
    <w:rsid w:val="00593368"/>
    <w:rsid w:val="005C0D6E"/>
    <w:rsid w:val="005C7C96"/>
    <w:rsid w:val="00640E8E"/>
    <w:rsid w:val="00652529"/>
    <w:rsid w:val="00661206"/>
    <w:rsid w:val="006845FE"/>
    <w:rsid w:val="006A7D62"/>
    <w:rsid w:val="006B0651"/>
    <w:rsid w:val="006C088B"/>
    <w:rsid w:val="006D4311"/>
    <w:rsid w:val="006D503A"/>
    <w:rsid w:val="0071544B"/>
    <w:rsid w:val="007344C8"/>
    <w:rsid w:val="0076355B"/>
    <w:rsid w:val="00795370"/>
    <w:rsid w:val="007A12A8"/>
    <w:rsid w:val="007A32F9"/>
    <w:rsid w:val="007C37F8"/>
    <w:rsid w:val="007E581F"/>
    <w:rsid w:val="00804F5C"/>
    <w:rsid w:val="00825626"/>
    <w:rsid w:val="00876F9D"/>
    <w:rsid w:val="00886785"/>
    <w:rsid w:val="008932B7"/>
    <w:rsid w:val="008A6473"/>
    <w:rsid w:val="008B180E"/>
    <w:rsid w:val="008C363E"/>
    <w:rsid w:val="008D3908"/>
    <w:rsid w:val="008D6574"/>
    <w:rsid w:val="008E7F59"/>
    <w:rsid w:val="008F0186"/>
    <w:rsid w:val="009470F6"/>
    <w:rsid w:val="00970082"/>
    <w:rsid w:val="00982A1D"/>
    <w:rsid w:val="00994ADF"/>
    <w:rsid w:val="009A10F5"/>
    <w:rsid w:val="009C175F"/>
    <w:rsid w:val="009D114B"/>
    <w:rsid w:val="009E028B"/>
    <w:rsid w:val="00A03BB3"/>
    <w:rsid w:val="00A210E6"/>
    <w:rsid w:val="00A4104F"/>
    <w:rsid w:val="00AA2F22"/>
    <w:rsid w:val="00AC57E5"/>
    <w:rsid w:val="00AD257A"/>
    <w:rsid w:val="00AE7F9A"/>
    <w:rsid w:val="00AF5C09"/>
    <w:rsid w:val="00B10BCD"/>
    <w:rsid w:val="00B36552"/>
    <w:rsid w:val="00B766F0"/>
    <w:rsid w:val="00B94F60"/>
    <w:rsid w:val="00BA0904"/>
    <w:rsid w:val="00BA3020"/>
    <w:rsid w:val="00BC53A9"/>
    <w:rsid w:val="00BD1044"/>
    <w:rsid w:val="00BE0DFC"/>
    <w:rsid w:val="00C10D92"/>
    <w:rsid w:val="00C112BF"/>
    <w:rsid w:val="00C11BC0"/>
    <w:rsid w:val="00C43F1B"/>
    <w:rsid w:val="00C57A01"/>
    <w:rsid w:val="00C979CD"/>
    <w:rsid w:val="00CA6DE2"/>
    <w:rsid w:val="00CB4599"/>
    <w:rsid w:val="00CC7BEC"/>
    <w:rsid w:val="00CD6540"/>
    <w:rsid w:val="00CE33A9"/>
    <w:rsid w:val="00D3601F"/>
    <w:rsid w:val="00D400E9"/>
    <w:rsid w:val="00D45E40"/>
    <w:rsid w:val="00DA4DBD"/>
    <w:rsid w:val="00DB4547"/>
    <w:rsid w:val="00DC706E"/>
    <w:rsid w:val="00DD5138"/>
    <w:rsid w:val="00E042A0"/>
    <w:rsid w:val="00E15D1B"/>
    <w:rsid w:val="00E36622"/>
    <w:rsid w:val="00E44350"/>
    <w:rsid w:val="00E652F1"/>
    <w:rsid w:val="00ED5DBA"/>
    <w:rsid w:val="00EE5150"/>
    <w:rsid w:val="00F26263"/>
    <w:rsid w:val="00F3255A"/>
    <w:rsid w:val="00F566F5"/>
    <w:rsid w:val="00F604C6"/>
    <w:rsid w:val="00F671FD"/>
    <w:rsid w:val="00F70D4D"/>
    <w:rsid w:val="00F81427"/>
    <w:rsid w:val="00F87AC5"/>
    <w:rsid w:val="00FA0332"/>
    <w:rsid w:val="00FA5EB2"/>
    <w:rsid w:val="00FB7BF0"/>
    <w:rsid w:val="00FC75E8"/>
    <w:rsid w:val="00FE1391"/>
    <w:rsid w:val="00FF4CA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1C8EB-B389-4A46-868E-7AD24C8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52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57F1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57F16"/>
    <w:rPr>
      <w:rFonts w:ascii="Calibri" w:eastAsia="宋体" w:hAnsi="Calibri" w:cs="Times New Roman"/>
    </w:rPr>
  </w:style>
  <w:style w:type="paragraph" w:styleId="a9">
    <w:name w:val="Normal Indent"/>
    <w:basedOn w:val="a"/>
    <w:next w:val="a"/>
    <w:qFormat/>
    <w:rsid w:val="007C37F8"/>
    <w:pPr>
      <w:ind w:firstLineChars="200" w:firstLine="420"/>
    </w:pPr>
    <w:rPr>
      <w:rFonts w:ascii="等线" w:eastAsia="等线" w:hAnsi="等线"/>
    </w:rPr>
  </w:style>
  <w:style w:type="table" w:styleId="aa">
    <w:name w:val="Table Grid"/>
    <w:basedOn w:val="a1"/>
    <w:uiPriority w:val="39"/>
    <w:qFormat/>
    <w:rsid w:val="007C37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rsid w:val="007C37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323</Words>
  <Characters>1843</Characters>
  <Application>Microsoft Office Word</Application>
  <DocSecurity>0</DocSecurity>
  <Lines>15</Lines>
  <Paragraphs>4</Paragraphs>
  <ScaleCrop>false</ScaleCrop>
  <Company>china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赵海波</cp:lastModifiedBy>
  <cp:revision>31</cp:revision>
  <cp:lastPrinted>2017-02-22T06:09:00Z</cp:lastPrinted>
  <dcterms:created xsi:type="dcterms:W3CDTF">2017-02-22T03:13:00Z</dcterms:created>
  <dcterms:modified xsi:type="dcterms:W3CDTF">2025-11-07T07:16:00Z</dcterms:modified>
</cp:coreProperties>
</file>