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29" w:rsidRDefault="00652529" w:rsidP="00F566F5">
      <w:pPr>
        <w:spacing w:line="56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sidR="00CC7BEC">
        <w:rPr>
          <w:rFonts w:ascii="宋体" w:hAnsi="宋体" w:cs="宋体"/>
          <w:b/>
          <w:bCs/>
          <w:sz w:val="24"/>
        </w:rPr>
        <w:t>2</w:t>
      </w:r>
      <w:r w:rsidR="000A44F8">
        <w:rPr>
          <w:rFonts w:ascii="宋体" w:hAnsi="宋体" w:cs="宋体"/>
          <w:b/>
          <w:bCs/>
          <w:sz w:val="24"/>
        </w:rPr>
        <w:t>5</w:t>
      </w:r>
      <w:r>
        <w:rPr>
          <w:rFonts w:ascii="宋体" w:hAnsi="宋体" w:cs="宋体"/>
          <w:b/>
          <w:bCs/>
          <w:sz w:val="24"/>
        </w:rPr>
        <w:t>-</w:t>
      </w:r>
      <w:r w:rsidR="008932B7">
        <w:rPr>
          <w:rFonts w:ascii="宋体" w:hAnsi="宋体" w:cs="宋体"/>
          <w:b/>
          <w:bCs/>
          <w:sz w:val="24"/>
        </w:rPr>
        <w:t>0</w:t>
      </w:r>
      <w:r w:rsidR="00F02FC8">
        <w:rPr>
          <w:rFonts w:ascii="宋体" w:hAnsi="宋体" w:cs="宋体"/>
          <w:b/>
          <w:bCs/>
          <w:sz w:val="24"/>
        </w:rPr>
        <w:t>54</w:t>
      </w:r>
    </w:p>
    <w:p w:rsidR="00652529" w:rsidRPr="006C69EC" w:rsidRDefault="00652529" w:rsidP="00F566F5">
      <w:pPr>
        <w:spacing w:line="560" w:lineRule="exact"/>
        <w:jc w:val="center"/>
        <w:rPr>
          <w:rFonts w:eastAsia="黑体"/>
          <w:b/>
          <w:color w:val="FF0000"/>
          <w:sz w:val="36"/>
          <w:szCs w:val="36"/>
        </w:rPr>
      </w:pPr>
      <w:r w:rsidRPr="006C69EC">
        <w:rPr>
          <w:rFonts w:eastAsia="黑体" w:hint="eastAsia"/>
          <w:b/>
          <w:color w:val="FF0000"/>
          <w:sz w:val="36"/>
          <w:szCs w:val="36"/>
        </w:rPr>
        <w:t>安徽恒源煤电股份有限公司</w:t>
      </w:r>
    </w:p>
    <w:p w:rsidR="00652529" w:rsidRPr="00F74467" w:rsidRDefault="00F02FC8" w:rsidP="00F566F5">
      <w:pPr>
        <w:spacing w:line="560" w:lineRule="exact"/>
        <w:jc w:val="center"/>
        <w:rPr>
          <w:rFonts w:eastAsia="黑体"/>
          <w:b/>
          <w:color w:val="FF0000"/>
          <w:sz w:val="36"/>
          <w:szCs w:val="36"/>
        </w:rPr>
      </w:pPr>
      <w:r w:rsidRPr="00F02FC8">
        <w:rPr>
          <w:rFonts w:eastAsia="黑体" w:hint="eastAsia"/>
          <w:b/>
          <w:color w:val="FF0000"/>
          <w:sz w:val="36"/>
          <w:szCs w:val="36"/>
        </w:rPr>
        <w:t>关于新增</w:t>
      </w:r>
      <w:r w:rsidRPr="00F02FC8">
        <w:rPr>
          <w:rFonts w:eastAsia="黑体" w:hint="eastAsia"/>
          <w:b/>
          <w:color w:val="FF0000"/>
          <w:sz w:val="36"/>
          <w:szCs w:val="36"/>
        </w:rPr>
        <w:t>2025</w:t>
      </w:r>
      <w:r w:rsidRPr="00F02FC8">
        <w:rPr>
          <w:rFonts w:eastAsia="黑体" w:hint="eastAsia"/>
          <w:b/>
          <w:color w:val="FF0000"/>
          <w:sz w:val="36"/>
          <w:szCs w:val="36"/>
        </w:rPr>
        <w:t>年日常关联交易预计额度的公告</w:t>
      </w:r>
    </w:p>
    <w:p w:rsidR="00652529" w:rsidRDefault="00652529" w:rsidP="00F566F5">
      <w:pPr>
        <w:spacing w:line="560" w:lineRule="exact"/>
        <w:ind w:firstLineChars="200" w:firstLine="560"/>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F02FC8" w:rsidRDefault="00F02FC8" w:rsidP="00F02FC8">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F02FC8" w:rsidRDefault="00F02FC8" w:rsidP="00F02FC8">
      <w:pPr>
        <w:pStyle w:val="10"/>
        <w:adjustRightInd w:val="0"/>
        <w:snapToGrid w:val="0"/>
        <w:spacing w:line="560" w:lineRule="exact"/>
        <w:ind w:firstLineChars="0"/>
        <w:rPr>
          <w:rFonts w:ascii="仿宋_GB2312" w:eastAsia="仿宋_GB2312"/>
          <w:color w:val="000000"/>
          <w:sz w:val="30"/>
          <w:szCs w:val="30"/>
        </w:rPr>
      </w:pPr>
      <w:bookmarkStart w:id="0" w:name="OLE_LINK4"/>
      <w:bookmarkStart w:id="1" w:name="OLE_LINK5"/>
      <w:r>
        <w:rPr>
          <w:rFonts w:ascii="仿宋_GB2312" w:eastAsia="仿宋_GB2312" w:hint="eastAsia"/>
          <w:color w:val="000000"/>
          <w:sz w:val="30"/>
          <w:szCs w:val="30"/>
        </w:rPr>
        <w:t>●</w:t>
      </w:r>
      <w:bookmarkEnd w:id="0"/>
      <w:bookmarkEnd w:id="1"/>
      <w:r w:rsidRPr="00F02FC8">
        <w:rPr>
          <w:rFonts w:ascii="仿宋_GB2312" w:eastAsia="仿宋_GB2312" w:hint="eastAsia"/>
          <w:color w:val="000000"/>
          <w:sz w:val="30"/>
          <w:szCs w:val="30"/>
        </w:rPr>
        <w:t>本次增加 2025 年度日常关联交易预计额度无需提交</w:t>
      </w:r>
      <w:r>
        <w:rPr>
          <w:rFonts w:ascii="仿宋_GB2312" w:eastAsia="仿宋_GB2312" w:hint="eastAsia"/>
          <w:color w:val="000000"/>
          <w:sz w:val="30"/>
          <w:szCs w:val="30"/>
        </w:rPr>
        <w:t>安徽恒源煤电股份有限公司</w:t>
      </w:r>
      <w:r w:rsidRPr="00F02FC8">
        <w:rPr>
          <w:rFonts w:ascii="仿宋_GB2312" w:eastAsia="仿宋_GB2312" w:hint="eastAsia"/>
          <w:color w:val="000000"/>
          <w:sz w:val="30"/>
          <w:szCs w:val="30"/>
        </w:rPr>
        <w:t>（以下简称“公司”）股东会审议。</w:t>
      </w:r>
    </w:p>
    <w:p w:rsidR="00F02FC8" w:rsidRDefault="00F02FC8" w:rsidP="00F02FC8">
      <w:pPr>
        <w:pStyle w:val="10"/>
        <w:adjustRightInd w:val="0"/>
        <w:snapToGrid w:val="0"/>
        <w:spacing w:line="560" w:lineRule="exact"/>
        <w:ind w:firstLineChars="0"/>
        <w:rPr>
          <w:rFonts w:ascii="仿宋_GB2312" w:eastAsia="仿宋_GB2312"/>
          <w:color w:val="000000"/>
          <w:sz w:val="30"/>
          <w:szCs w:val="30"/>
        </w:rPr>
      </w:pPr>
      <w:r>
        <w:rPr>
          <w:rFonts w:ascii="仿宋_GB2312" w:eastAsia="仿宋_GB2312" w:hint="eastAsia"/>
          <w:color w:val="000000"/>
          <w:sz w:val="30"/>
          <w:szCs w:val="30"/>
        </w:rPr>
        <w:t>●</w:t>
      </w:r>
      <w:r w:rsidRPr="00F02FC8">
        <w:rPr>
          <w:rFonts w:ascii="仿宋_GB2312" w:eastAsia="仿宋_GB2312" w:hint="eastAsia"/>
          <w:color w:val="000000"/>
          <w:sz w:val="30"/>
          <w:szCs w:val="30"/>
        </w:rPr>
        <w:t>本次增加预计与关联方发生的日常关联交易是公司正常生产经营所需要，公司与关联方的交易是在平等、互利基础上进行的，定价原则合理、公允，不会形成公司对关联人的依赖，不会影响公司的独立性，公司按照相关法律法规规定履行审批程序，不存在损害本公司和股东利益的情形，亦不会对公司持续经营能力产生影响。</w:t>
      </w:r>
    </w:p>
    <w:p w:rsidR="00F02FC8" w:rsidRDefault="00F02FC8" w:rsidP="00F02FC8">
      <w:pPr>
        <w:pStyle w:val="10"/>
        <w:adjustRightInd w:val="0"/>
        <w:snapToGrid w:val="0"/>
        <w:spacing w:line="560" w:lineRule="exact"/>
        <w:ind w:firstLineChars="0"/>
        <w:rPr>
          <w:rFonts w:ascii="仿宋_GB2312" w:eastAsia="仿宋_GB2312" w:hAnsiTheme="minorEastAsia"/>
          <w:sz w:val="32"/>
          <w:szCs w:val="32"/>
        </w:rPr>
      </w:pPr>
      <w:r>
        <w:rPr>
          <w:rFonts w:ascii="仿宋_GB2312" w:eastAsia="仿宋_GB2312" w:hint="eastAsia"/>
          <w:color w:val="000000"/>
          <w:sz w:val="30"/>
          <w:szCs w:val="30"/>
        </w:rPr>
        <w:t>●</w:t>
      </w:r>
      <w:r>
        <w:rPr>
          <w:rFonts w:ascii="仿宋_GB2312" w:eastAsia="仿宋_GB2312" w:hAnsi="仿宋_GB2312" w:cs="仿宋_GB2312" w:hint="eastAsia"/>
          <w:color w:val="000000"/>
          <w:sz w:val="30"/>
          <w:szCs w:val="30"/>
        </w:rPr>
        <w:t>过去12个月内，公司除与受同一控制的关联人发生</w:t>
      </w:r>
      <w:r w:rsidR="00A41C15">
        <w:rPr>
          <w:rFonts w:ascii="仿宋_GB2312" w:eastAsia="仿宋_GB2312" w:hAnsi="仿宋_GB2312" w:cs="仿宋_GB2312" w:hint="eastAsia"/>
          <w:color w:val="000000"/>
          <w:sz w:val="30"/>
          <w:szCs w:val="30"/>
        </w:rPr>
        <w:t>的</w:t>
      </w:r>
      <w:r>
        <w:rPr>
          <w:rFonts w:ascii="仿宋_GB2312" w:eastAsia="仿宋_GB2312" w:hAnsi="仿宋_GB2312" w:cs="仿宋_GB2312" w:hint="eastAsia"/>
          <w:color w:val="000000"/>
          <w:sz w:val="30"/>
          <w:szCs w:val="30"/>
        </w:rPr>
        <w:t>日常关联交易外，与受同一控制的关联人发生关联交易一次，金额5</w:t>
      </w:r>
      <w:r>
        <w:rPr>
          <w:rFonts w:ascii="仿宋_GB2312" w:eastAsia="仿宋_GB2312" w:hAnsi="仿宋_GB2312" w:cs="仿宋_GB2312"/>
          <w:color w:val="000000"/>
          <w:sz w:val="30"/>
          <w:szCs w:val="30"/>
        </w:rPr>
        <w:t>000</w:t>
      </w:r>
      <w:r>
        <w:rPr>
          <w:rFonts w:ascii="仿宋_GB2312" w:eastAsia="仿宋_GB2312" w:hAnsi="仿宋_GB2312" w:cs="仿宋_GB2312" w:hint="eastAsia"/>
          <w:color w:val="000000"/>
          <w:sz w:val="30"/>
          <w:szCs w:val="30"/>
        </w:rPr>
        <w:t>万元，系公司子公司</w:t>
      </w:r>
      <w:r>
        <w:rPr>
          <w:rFonts w:ascii="仿宋_GB2312" w:eastAsia="仿宋_GB2312" w:hAnsiTheme="minorEastAsia" w:hint="eastAsia"/>
          <w:sz w:val="32"/>
          <w:szCs w:val="32"/>
        </w:rPr>
        <w:t>恒源融资租赁（天津）有限公司因为开展业务需要，向关联方安徽磐谷高科有限公司提供的融资租赁业务。</w:t>
      </w:r>
    </w:p>
    <w:p w:rsidR="00F02FC8" w:rsidRDefault="00F02FC8" w:rsidP="00F02FC8">
      <w:pPr>
        <w:pStyle w:val="10"/>
        <w:adjustRightInd w:val="0"/>
        <w:snapToGrid w:val="0"/>
        <w:spacing w:line="560" w:lineRule="exact"/>
        <w:ind w:firstLineChars="0"/>
        <w:rPr>
          <w:rFonts w:ascii="黑体" w:eastAsia="黑体" w:hAnsi="黑体" w:cstheme="minorBidi"/>
          <w:b/>
          <w:sz w:val="30"/>
          <w:szCs w:val="30"/>
        </w:rPr>
      </w:pPr>
      <w:r w:rsidRPr="00F02FC8">
        <w:rPr>
          <w:rFonts w:ascii="黑体" w:eastAsia="黑体" w:hAnsi="黑体" w:cstheme="minorBidi" w:hint="eastAsia"/>
          <w:b/>
          <w:sz w:val="30"/>
          <w:szCs w:val="30"/>
        </w:rPr>
        <w:t>一、日常关联交易基本情况</w:t>
      </w:r>
    </w:p>
    <w:p w:rsidR="00F02FC8" w:rsidRPr="007F0B8E" w:rsidRDefault="00F02FC8" w:rsidP="00F02FC8">
      <w:pPr>
        <w:pStyle w:val="10"/>
        <w:adjustRightInd w:val="0"/>
        <w:snapToGrid w:val="0"/>
        <w:spacing w:line="560" w:lineRule="exact"/>
        <w:ind w:firstLineChars="0"/>
        <w:rPr>
          <w:rFonts w:ascii="仿宋_GB2312" w:eastAsia="仿宋_GB2312"/>
          <w:b/>
          <w:color w:val="000000"/>
          <w:sz w:val="30"/>
          <w:szCs w:val="30"/>
        </w:rPr>
      </w:pPr>
      <w:r w:rsidRPr="007F0B8E">
        <w:rPr>
          <w:rFonts w:ascii="仿宋_GB2312" w:eastAsia="仿宋_GB2312" w:hint="eastAsia"/>
          <w:b/>
          <w:color w:val="000000"/>
          <w:sz w:val="30"/>
          <w:szCs w:val="30"/>
        </w:rPr>
        <w:t>（一）日常关联交易履行的审议程序</w:t>
      </w:r>
    </w:p>
    <w:p w:rsidR="00F02FC8" w:rsidRDefault="00F02FC8" w:rsidP="00F02FC8">
      <w:pPr>
        <w:pStyle w:val="10"/>
        <w:adjustRightInd w:val="0"/>
        <w:snapToGrid w:val="0"/>
        <w:spacing w:line="560" w:lineRule="exact"/>
        <w:ind w:firstLineChars="0"/>
        <w:rPr>
          <w:rFonts w:ascii="仿宋_GB2312" w:eastAsia="仿宋_GB2312"/>
          <w:color w:val="000000"/>
          <w:sz w:val="30"/>
          <w:szCs w:val="30"/>
        </w:rPr>
      </w:pPr>
      <w:r>
        <w:rPr>
          <w:rFonts w:ascii="仿宋_GB2312" w:eastAsia="仿宋_GB2312"/>
          <w:color w:val="000000"/>
          <w:sz w:val="30"/>
          <w:szCs w:val="30"/>
        </w:rPr>
        <w:t>1</w:t>
      </w:r>
      <w:r w:rsidRPr="00F02FC8">
        <w:rPr>
          <w:rFonts w:ascii="仿宋_GB2312" w:eastAsia="仿宋_GB2312" w:hint="eastAsia"/>
          <w:color w:val="000000"/>
          <w:sz w:val="30"/>
          <w:szCs w:val="30"/>
        </w:rPr>
        <w:t>.独立董事专门会议审议情况</w:t>
      </w:r>
    </w:p>
    <w:p w:rsidR="00F02FC8" w:rsidRPr="00F02FC8" w:rsidRDefault="00F02FC8" w:rsidP="00520695">
      <w:pPr>
        <w:pStyle w:val="10"/>
        <w:adjustRightInd w:val="0"/>
        <w:snapToGrid w:val="0"/>
        <w:spacing w:line="560" w:lineRule="exact"/>
        <w:ind w:firstLineChars="0"/>
        <w:rPr>
          <w:rFonts w:ascii="仿宋_GB2312" w:eastAsia="仿宋_GB2312"/>
          <w:color w:val="000000"/>
          <w:sz w:val="30"/>
          <w:szCs w:val="30"/>
        </w:rPr>
      </w:pPr>
      <w:r w:rsidRPr="00F02FC8">
        <w:rPr>
          <w:rFonts w:ascii="仿宋_GB2312" w:eastAsia="仿宋_GB2312" w:hint="eastAsia"/>
          <w:color w:val="000000"/>
          <w:sz w:val="30"/>
          <w:szCs w:val="30"/>
        </w:rPr>
        <w:t>公司</w:t>
      </w:r>
      <w:r w:rsidR="00DF3C5A">
        <w:rPr>
          <w:rFonts w:ascii="仿宋_GB2312" w:eastAsia="仿宋_GB2312" w:hint="eastAsia"/>
          <w:color w:val="000000"/>
          <w:sz w:val="30"/>
          <w:szCs w:val="30"/>
        </w:rPr>
        <w:t>2</w:t>
      </w:r>
      <w:r w:rsidR="00DF3C5A">
        <w:rPr>
          <w:rFonts w:ascii="仿宋_GB2312" w:eastAsia="仿宋_GB2312"/>
          <w:color w:val="000000"/>
          <w:sz w:val="30"/>
          <w:szCs w:val="30"/>
        </w:rPr>
        <w:t>025</w:t>
      </w:r>
      <w:r w:rsidR="00DF3C5A">
        <w:rPr>
          <w:rFonts w:ascii="仿宋_GB2312" w:eastAsia="仿宋_GB2312" w:hint="eastAsia"/>
          <w:color w:val="000000"/>
          <w:sz w:val="30"/>
          <w:szCs w:val="30"/>
        </w:rPr>
        <w:t>年第三次</w:t>
      </w:r>
      <w:r w:rsidRPr="00F02FC8">
        <w:rPr>
          <w:rFonts w:ascii="仿宋_GB2312" w:eastAsia="仿宋_GB2312" w:hint="eastAsia"/>
          <w:color w:val="000000"/>
          <w:sz w:val="30"/>
          <w:szCs w:val="30"/>
        </w:rPr>
        <w:t>独立董事专门会议</w:t>
      </w:r>
      <w:r w:rsidR="00520695" w:rsidRPr="00F02FC8">
        <w:rPr>
          <w:rFonts w:ascii="仿宋_GB2312" w:eastAsia="仿宋_GB2312" w:hint="eastAsia"/>
          <w:color w:val="000000"/>
          <w:sz w:val="30"/>
          <w:szCs w:val="30"/>
        </w:rPr>
        <w:t>以3 票同意、0 票反对、</w:t>
      </w:r>
      <w:r w:rsidR="00520695" w:rsidRPr="00F02FC8">
        <w:rPr>
          <w:rFonts w:ascii="仿宋_GB2312" w:eastAsia="仿宋_GB2312" w:hint="eastAsia"/>
          <w:color w:val="000000"/>
          <w:sz w:val="30"/>
          <w:szCs w:val="30"/>
        </w:rPr>
        <w:lastRenderedPageBreak/>
        <w:t>0票弃权</w:t>
      </w:r>
      <w:r w:rsidR="00520695">
        <w:rPr>
          <w:rFonts w:ascii="仿宋_GB2312" w:eastAsia="仿宋_GB2312" w:hint="eastAsia"/>
          <w:color w:val="000000"/>
          <w:sz w:val="30"/>
          <w:szCs w:val="30"/>
        </w:rPr>
        <w:t>审议通过了《</w:t>
      </w:r>
      <w:bookmarkStart w:id="2" w:name="OLE_LINK7"/>
      <w:r w:rsidR="00520695" w:rsidRPr="00520695">
        <w:rPr>
          <w:rFonts w:ascii="仿宋_GB2312" w:eastAsia="仿宋_GB2312" w:hint="eastAsia"/>
          <w:color w:val="000000"/>
          <w:sz w:val="30"/>
          <w:szCs w:val="30"/>
        </w:rPr>
        <w:t>关于新增2025年日常关联交易预计额度的议案</w:t>
      </w:r>
      <w:bookmarkEnd w:id="2"/>
      <w:r w:rsidR="00520695">
        <w:rPr>
          <w:rFonts w:ascii="仿宋_GB2312" w:eastAsia="仿宋_GB2312" w:hint="eastAsia"/>
          <w:color w:val="000000"/>
          <w:sz w:val="30"/>
          <w:szCs w:val="30"/>
        </w:rPr>
        <w:t>》，</w:t>
      </w:r>
      <w:r w:rsidRPr="00F02FC8">
        <w:rPr>
          <w:rFonts w:ascii="仿宋_GB2312" w:eastAsia="仿宋_GB2312" w:hint="eastAsia"/>
          <w:color w:val="000000"/>
          <w:sz w:val="30"/>
          <w:szCs w:val="30"/>
        </w:rPr>
        <w:t>全体独立董事发表意见如下：</w:t>
      </w:r>
      <w:bookmarkStart w:id="3" w:name="OLE_LINK6"/>
      <w:r w:rsidRPr="00F02FC8">
        <w:rPr>
          <w:rFonts w:ascii="仿宋_GB2312" w:eastAsia="仿宋_GB2312" w:hint="eastAsia"/>
          <w:color w:val="000000"/>
          <w:sz w:val="30"/>
          <w:szCs w:val="30"/>
        </w:rPr>
        <w:t>公司本次新增的日常关联交易预计属于公司正常经营行为，公司与关联方交易价格参照市场交易价格，不存在损害公司及股东特别是中小股东利益的情形，不会影响公司的独立性，公司主营业务不会因此对关联方形成依赖。独立董事一致同意本事项，并同意将该议案提交董事会审议。</w:t>
      </w:r>
      <w:bookmarkEnd w:id="3"/>
    </w:p>
    <w:p w:rsidR="00F02FC8" w:rsidRDefault="00520695" w:rsidP="00F02FC8">
      <w:pPr>
        <w:pStyle w:val="10"/>
        <w:adjustRightInd w:val="0"/>
        <w:snapToGrid w:val="0"/>
        <w:spacing w:line="560" w:lineRule="exact"/>
        <w:ind w:firstLineChars="0"/>
        <w:rPr>
          <w:rFonts w:ascii="仿宋_GB2312" w:eastAsia="仿宋_GB2312"/>
          <w:color w:val="000000"/>
          <w:sz w:val="30"/>
          <w:szCs w:val="30"/>
        </w:rPr>
      </w:pPr>
      <w:r>
        <w:rPr>
          <w:rFonts w:ascii="仿宋_GB2312" w:eastAsia="仿宋_GB2312"/>
          <w:color w:val="000000"/>
          <w:sz w:val="30"/>
          <w:szCs w:val="30"/>
        </w:rPr>
        <w:t>2</w:t>
      </w:r>
      <w:r w:rsidR="00F02FC8" w:rsidRPr="00F02FC8">
        <w:rPr>
          <w:rFonts w:ascii="仿宋_GB2312" w:eastAsia="仿宋_GB2312" w:hint="eastAsia"/>
          <w:color w:val="000000"/>
          <w:sz w:val="30"/>
          <w:szCs w:val="30"/>
        </w:rPr>
        <w:t>.董事会审议情况</w:t>
      </w:r>
    </w:p>
    <w:p w:rsidR="00F02FC8" w:rsidRDefault="00F02FC8" w:rsidP="00F02FC8">
      <w:pPr>
        <w:pStyle w:val="10"/>
        <w:adjustRightInd w:val="0"/>
        <w:snapToGrid w:val="0"/>
        <w:spacing w:line="560" w:lineRule="exact"/>
        <w:ind w:firstLineChars="0"/>
        <w:rPr>
          <w:rFonts w:ascii="仿宋_GB2312" w:eastAsia="仿宋_GB2312"/>
          <w:color w:val="000000"/>
          <w:sz w:val="30"/>
          <w:szCs w:val="30"/>
        </w:rPr>
      </w:pPr>
      <w:r w:rsidRPr="00F02FC8">
        <w:rPr>
          <w:rFonts w:ascii="仿宋_GB2312" w:eastAsia="仿宋_GB2312" w:hint="eastAsia"/>
          <w:color w:val="000000"/>
          <w:sz w:val="30"/>
          <w:szCs w:val="30"/>
        </w:rPr>
        <w:t>公司于 2025 年 12 月 1</w:t>
      </w:r>
      <w:r w:rsidR="00520695">
        <w:rPr>
          <w:rFonts w:ascii="仿宋_GB2312" w:eastAsia="仿宋_GB2312"/>
          <w:color w:val="000000"/>
          <w:sz w:val="30"/>
          <w:szCs w:val="30"/>
        </w:rPr>
        <w:t>7</w:t>
      </w:r>
      <w:r w:rsidRPr="00F02FC8">
        <w:rPr>
          <w:rFonts w:ascii="仿宋_GB2312" w:eastAsia="仿宋_GB2312" w:hint="eastAsia"/>
          <w:color w:val="000000"/>
          <w:sz w:val="30"/>
          <w:szCs w:val="30"/>
        </w:rPr>
        <w:t xml:space="preserve"> 日召开第</w:t>
      </w:r>
      <w:r w:rsidR="00520695">
        <w:rPr>
          <w:rFonts w:ascii="仿宋_GB2312" w:eastAsia="仿宋_GB2312" w:hint="eastAsia"/>
          <w:color w:val="000000"/>
          <w:sz w:val="30"/>
          <w:szCs w:val="30"/>
        </w:rPr>
        <w:t>八</w:t>
      </w:r>
      <w:r w:rsidRPr="00F02FC8">
        <w:rPr>
          <w:rFonts w:ascii="仿宋_GB2312" w:eastAsia="仿宋_GB2312" w:hint="eastAsia"/>
          <w:color w:val="000000"/>
          <w:sz w:val="30"/>
          <w:szCs w:val="30"/>
        </w:rPr>
        <w:t>届董事会第二十</w:t>
      </w:r>
      <w:r w:rsidR="00520695">
        <w:rPr>
          <w:rFonts w:ascii="仿宋_GB2312" w:eastAsia="仿宋_GB2312" w:hint="eastAsia"/>
          <w:color w:val="000000"/>
          <w:sz w:val="30"/>
          <w:szCs w:val="30"/>
        </w:rPr>
        <w:t>一</w:t>
      </w:r>
      <w:r w:rsidRPr="00F02FC8">
        <w:rPr>
          <w:rFonts w:ascii="仿宋_GB2312" w:eastAsia="仿宋_GB2312" w:hint="eastAsia"/>
          <w:color w:val="000000"/>
          <w:sz w:val="30"/>
          <w:szCs w:val="30"/>
        </w:rPr>
        <w:t>次会议，审议通过了《</w:t>
      </w:r>
      <w:r w:rsidR="00520695" w:rsidRPr="00520695">
        <w:rPr>
          <w:rFonts w:ascii="仿宋_GB2312" w:eastAsia="仿宋_GB2312" w:hint="eastAsia"/>
          <w:color w:val="000000"/>
          <w:sz w:val="30"/>
          <w:szCs w:val="30"/>
        </w:rPr>
        <w:t>关于新增2025年日常关联交易预计额度的议案</w:t>
      </w:r>
      <w:r w:rsidRPr="00F02FC8">
        <w:rPr>
          <w:rFonts w:ascii="仿宋_GB2312" w:eastAsia="仿宋_GB2312" w:hint="eastAsia"/>
          <w:color w:val="000000"/>
          <w:sz w:val="30"/>
          <w:szCs w:val="30"/>
        </w:rPr>
        <w:t>》，关联董事</w:t>
      </w:r>
      <w:r w:rsidR="00520695">
        <w:rPr>
          <w:rFonts w:ascii="仿宋_GB2312" w:eastAsia="仿宋_GB2312" w:hint="eastAsia"/>
          <w:color w:val="000000"/>
          <w:sz w:val="30"/>
          <w:szCs w:val="30"/>
        </w:rPr>
        <w:t>杨林</w:t>
      </w:r>
      <w:r w:rsidRPr="00F02FC8">
        <w:rPr>
          <w:rFonts w:ascii="仿宋_GB2312" w:eastAsia="仿宋_GB2312" w:hint="eastAsia"/>
          <w:color w:val="000000"/>
          <w:sz w:val="30"/>
          <w:szCs w:val="30"/>
        </w:rPr>
        <w:t>、</w:t>
      </w:r>
      <w:r w:rsidR="00520695">
        <w:rPr>
          <w:rFonts w:ascii="仿宋_GB2312" w:eastAsia="仿宋_GB2312" w:hint="eastAsia"/>
          <w:color w:val="000000"/>
          <w:sz w:val="30"/>
          <w:szCs w:val="30"/>
        </w:rPr>
        <w:t>陈稼轩</w:t>
      </w:r>
      <w:r w:rsidRPr="00F02FC8">
        <w:rPr>
          <w:rFonts w:ascii="仿宋_GB2312" w:eastAsia="仿宋_GB2312" w:hint="eastAsia"/>
          <w:color w:val="000000"/>
          <w:sz w:val="30"/>
          <w:szCs w:val="30"/>
        </w:rPr>
        <w:t>、</w:t>
      </w:r>
      <w:r w:rsidR="00520695">
        <w:rPr>
          <w:rFonts w:ascii="仿宋_GB2312" w:eastAsia="仿宋_GB2312" w:hint="eastAsia"/>
          <w:color w:val="000000"/>
          <w:sz w:val="30"/>
          <w:szCs w:val="30"/>
        </w:rPr>
        <w:t>傅</w:t>
      </w:r>
      <w:r w:rsidR="00520695" w:rsidRPr="00520695">
        <w:rPr>
          <w:rFonts w:ascii="宋体" w:hAnsi="宋体" w:cs="微软雅黑" w:hint="eastAsia"/>
          <w:color w:val="000000"/>
          <w:sz w:val="30"/>
          <w:szCs w:val="30"/>
        </w:rPr>
        <w:t>崑</w:t>
      </w:r>
      <w:r w:rsidR="00520695" w:rsidRPr="00520695">
        <w:rPr>
          <w:rFonts w:ascii="仿宋_GB2312" w:eastAsia="仿宋_GB2312" w:hAnsi="仿宋_GB2312" w:cs="仿宋_GB2312" w:hint="eastAsia"/>
          <w:color w:val="000000"/>
          <w:sz w:val="30"/>
          <w:szCs w:val="30"/>
        </w:rPr>
        <w:t>岚</w:t>
      </w:r>
      <w:r w:rsidRPr="00F02FC8">
        <w:rPr>
          <w:rFonts w:ascii="仿宋_GB2312" w:eastAsia="仿宋_GB2312" w:hint="eastAsia"/>
          <w:color w:val="000000"/>
          <w:sz w:val="30"/>
          <w:szCs w:val="30"/>
        </w:rPr>
        <w:t>回避表决</w:t>
      </w:r>
      <w:r w:rsidR="00520695">
        <w:rPr>
          <w:rFonts w:ascii="仿宋_GB2312" w:eastAsia="仿宋_GB2312" w:hint="eastAsia"/>
          <w:color w:val="000000"/>
          <w:sz w:val="30"/>
          <w:szCs w:val="30"/>
        </w:rPr>
        <w:t>，</w:t>
      </w:r>
      <w:r w:rsidRPr="00F02FC8">
        <w:rPr>
          <w:rFonts w:ascii="仿宋_GB2312" w:eastAsia="仿宋_GB2312" w:hint="eastAsia"/>
          <w:color w:val="000000"/>
          <w:sz w:val="30"/>
          <w:szCs w:val="30"/>
        </w:rPr>
        <w:t>上述议案以</w:t>
      </w:r>
      <w:r w:rsidR="00520695">
        <w:rPr>
          <w:rFonts w:ascii="仿宋_GB2312" w:eastAsia="仿宋_GB2312"/>
          <w:color w:val="000000"/>
          <w:sz w:val="30"/>
          <w:szCs w:val="30"/>
        </w:rPr>
        <w:t>6</w:t>
      </w:r>
      <w:r w:rsidRPr="00F02FC8">
        <w:rPr>
          <w:rFonts w:ascii="仿宋_GB2312" w:eastAsia="仿宋_GB2312" w:hint="eastAsia"/>
          <w:color w:val="000000"/>
          <w:sz w:val="30"/>
          <w:szCs w:val="30"/>
        </w:rPr>
        <w:t>票同意、0 票反对、0 票弃权的表决结果获得通过。上述议案无需提交公司股东会审议。</w:t>
      </w:r>
    </w:p>
    <w:p w:rsidR="00520695" w:rsidRPr="007F0B8E" w:rsidRDefault="00520695" w:rsidP="00F02FC8">
      <w:pPr>
        <w:pStyle w:val="10"/>
        <w:adjustRightInd w:val="0"/>
        <w:snapToGrid w:val="0"/>
        <w:spacing w:line="560" w:lineRule="exact"/>
        <w:ind w:firstLineChars="0"/>
        <w:rPr>
          <w:rFonts w:ascii="仿宋_GB2312" w:eastAsia="仿宋_GB2312"/>
          <w:b/>
          <w:color w:val="000000"/>
          <w:sz w:val="30"/>
          <w:szCs w:val="30"/>
        </w:rPr>
      </w:pPr>
      <w:r w:rsidRPr="007F0B8E">
        <w:rPr>
          <w:rFonts w:ascii="仿宋_GB2312" w:eastAsia="仿宋_GB2312" w:hint="eastAsia"/>
          <w:b/>
          <w:color w:val="000000"/>
          <w:sz w:val="30"/>
          <w:szCs w:val="30"/>
        </w:rPr>
        <w:t>（二）本次增加日常关联交易预计</w:t>
      </w:r>
      <w:r w:rsidR="00F465B0" w:rsidRPr="007F0B8E">
        <w:rPr>
          <w:rFonts w:ascii="仿宋_GB2312" w:eastAsia="仿宋_GB2312" w:hint="eastAsia"/>
          <w:b/>
          <w:color w:val="000000"/>
          <w:sz w:val="30"/>
          <w:szCs w:val="30"/>
        </w:rPr>
        <w:t>额度</w:t>
      </w:r>
      <w:r w:rsidRPr="007F0B8E">
        <w:rPr>
          <w:rFonts w:ascii="仿宋_GB2312" w:eastAsia="仿宋_GB2312" w:hint="eastAsia"/>
          <w:b/>
          <w:color w:val="000000"/>
          <w:sz w:val="30"/>
          <w:szCs w:val="30"/>
        </w:rPr>
        <w:t>和类别</w:t>
      </w:r>
    </w:p>
    <w:p w:rsidR="00520695" w:rsidRDefault="00520695" w:rsidP="00F02FC8">
      <w:pPr>
        <w:pStyle w:val="10"/>
        <w:adjustRightInd w:val="0"/>
        <w:snapToGrid w:val="0"/>
        <w:spacing w:line="560" w:lineRule="exact"/>
        <w:ind w:firstLineChars="0"/>
        <w:rPr>
          <w:rFonts w:ascii="仿宋_GB2312" w:eastAsia="仿宋_GB2312"/>
          <w:color w:val="000000"/>
          <w:sz w:val="30"/>
          <w:szCs w:val="30"/>
        </w:rPr>
      </w:pPr>
      <w:r w:rsidRPr="00520695">
        <w:rPr>
          <w:rFonts w:ascii="仿宋_GB2312" w:eastAsia="仿宋_GB2312" w:hint="eastAsia"/>
          <w:color w:val="000000"/>
          <w:sz w:val="30"/>
          <w:szCs w:val="30"/>
        </w:rPr>
        <w:t>公司本次增加 2025 年度日常关联交易预计金额和类别如下表所示：</w:t>
      </w:r>
      <w:r w:rsidR="00F348C3">
        <w:rPr>
          <w:rFonts w:ascii="仿宋_GB2312" w:eastAsia="仿宋_GB2312" w:hint="eastAsia"/>
          <w:color w:val="000000"/>
          <w:sz w:val="30"/>
          <w:szCs w:val="30"/>
        </w:rPr>
        <w:t xml:space="preserve"> </w:t>
      </w:r>
      <w:r w:rsidR="00F348C3">
        <w:rPr>
          <w:rFonts w:ascii="仿宋_GB2312" w:eastAsia="仿宋_GB2312"/>
          <w:color w:val="000000"/>
          <w:sz w:val="30"/>
          <w:szCs w:val="30"/>
        </w:rPr>
        <w:t xml:space="preserve">                                 </w:t>
      </w:r>
      <w:r w:rsidRPr="00520695">
        <w:rPr>
          <w:rFonts w:ascii="仿宋_GB2312" w:eastAsia="仿宋_GB2312" w:hint="eastAsia"/>
          <w:color w:val="000000"/>
          <w:sz w:val="30"/>
          <w:szCs w:val="30"/>
        </w:rPr>
        <w:t>单位：万元</w:t>
      </w:r>
    </w:p>
    <w:tbl>
      <w:tblPr>
        <w:tblStyle w:val="aa"/>
        <w:tblW w:w="5000" w:type="pct"/>
        <w:tblLook w:val="04A0" w:firstRow="1" w:lastRow="0" w:firstColumn="1" w:lastColumn="0" w:noHBand="0" w:noVBand="1"/>
      </w:tblPr>
      <w:tblGrid>
        <w:gridCol w:w="1390"/>
        <w:gridCol w:w="1387"/>
        <w:gridCol w:w="1386"/>
        <w:gridCol w:w="1386"/>
        <w:gridCol w:w="1681"/>
        <w:gridCol w:w="1292"/>
      </w:tblGrid>
      <w:tr w:rsidR="00F465B0" w:rsidTr="00F465B0">
        <w:tc>
          <w:tcPr>
            <w:tcW w:w="816" w:type="pct"/>
            <w:vAlign w:val="center"/>
          </w:tcPr>
          <w:p w:rsidR="00F465B0" w:rsidRPr="00EF043F" w:rsidRDefault="00F465B0" w:rsidP="00A41C15">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关联交易类别</w:t>
            </w:r>
          </w:p>
        </w:tc>
        <w:tc>
          <w:tcPr>
            <w:tcW w:w="814" w:type="pct"/>
            <w:vAlign w:val="center"/>
          </w:tcPr>
          <w:p w:rsidR="00F465B0" w:rsidRPr="00EF043F" w:rsidRDefault="00F465B0" w:rsidP="00A41C15">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关联人</w:t>
            </w:r>
          </w:p>
        </w:tc>
        <w:tc>
          <w:tcPr>
            <w:tcW w:w="813" w:type="pct"/>
            <w:vAlign w:val="center"/>
          </w:tcPr>
          <w:p w:rsidR="00F465B0" w:rsidRPr="00EF043F" w:rsidRDefault="00F465B0" w:rsidP="00A41C15">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原预计发生额</w:t>
            </w:r>
          </w:p>
        </w:tc>
        <w:tc>
          <w:tcPr>
            <w:tcW w:w="813" w:type="pct"/>
            <w:vAlign w:val="center"/>
          </w:tcPr>
          <w:p w:rsidR="00F465B0" w:rsidRPr="00EF043F" w:rsidRDefault="00F465B0" w:rsidP="00A41C15">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现预计发生额</w:t>
            </w:r>
          </w:p>
        </w:tc>
        <w:tc>
          <w:tcPr>
            <w:tcW w:w="986" w:type="pct"/>
            <w:vAlign w:val="center"/>
          </w:tcPr>
          <w:p w:rsidR="00F465B0" w:rsidRPr="00EF043F" w:rsidRDefault="00F465B0" w:rsidP="00A41C15">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1</w:t>
            </w:r>
            <w:r w:rsidRPr="00EF043F">
              <w:rPr>
                <w:rFonts w:ascii="仿宋_GB2312" w:eastAsia="仿宋_GB2312"/>
                <w:color w:val="000000"/>
                <w:sz w:val="28"/>
                <w:szCs w:val="28"/>
              </w:rPr>
              <w:t>-11</w:t>
            </w:r>
            <w:r w:rsidRPr="00EF043F">
              <w:rPr>
                <w:rFonts w:ascii="仿宋_GB2312" w:eastAsia="仿宋_GB2312" w:hint="eastAsia"/>
                <w:color w:val="000000"/>
                <w:sz w:val="28"/>
                <w:szCs w:val="28"/>
              </w:rPr>
              <w:t>月实际发额</w:t>
            </w:r>
          </w:p>
        </w:tc>
        <w:tc>
          <w:tcPr>
            <w:tcW w:w="758" w:type="pct"/>
            <w:vAlign w:val="center"/>
          </w:tcPr>
          <w:p w:rsidR="00F465B0" w:rsidRPr="00EF043F" w:rsidRDefault="00F465B0" w:rsidP="00A41C15">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增加额</w:t>
            </w:r>
          </w:p>
        </w:tc>
      </w:tr>
      <w:tr w:rsidR="00F465B0" w:rsidTr="00F465B0">
        <w:tc>
          <w:tcPr>
            <w:tcW w:w="816" w:type="pct"/>
            <w:vAlign w:val="center"/>
          </w:tcPr>
          <w:p w:rsidR="00F465B0" w:rsidRPr="00EF043F" w:rsidRDefault="00F465B0" w:rsidP="00EF043F">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向关联人购买商品</w:t>
            </w:r>
          </w:p>
        </w:tc>
        <w:tc>
          <w:tcPr>
            <w:tcW w:w="814" w:type="pct"/>
            <w:vAlign w:val="center"/>
          </w:tcPr>
          <w:p w:rsidR="00F465B0" w:rsidRPr="00EF043F" w:rsidRDefault="00F465B0" w:rsidP="00EF043F">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AnsiTheme="minorEastAsia" w:hint="eastAsia"/>
                <w:sz w:val="28"/>
                <w:szCs w:val="28"/>
              </w:rPr>
              <w:t>安徽长江能源发展有限责任公司</w:t>
            </w:r>
          </w:p>
        </w:tc>
        <w:tc>
          <w:tcPr>
            <w:tcW w:w="813" w:type="pct"/>
            <w:vAlign w:val="center"/>
          </w:tcPr>
          <w:p w:rsidR="00F465B0" w:rsidRPr="00EF043F" w:rsidRDefault="00F465B0" w:rsidP="00EF043F">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3</w:t>
            </w:r>
            <w:r w:rsidRPr="00EF043F">
              <w:rPr>
                <w:rFonts w:ascii="仿宋_GB2312" w:eastAsia="仿宋_GB2312"/>
                <w:color w:val="000000"/>
                <w:sz w:val="28"/>
                <w:szCs w:val="28"/>
              </w:rPr>
              <w:t>5000</w:t>
            </w:r>
          </w:p>
        </w:tc>
        <w:tc>
          <w:tcPr>
            <w:tcW w:w="813" w:type="pct"/>
            <w:vAlign w:val="center"/>
          </w:tcPr>
          <w:p w:rsidR="00F465B0" w:rsidRPr="00EF043F" w:rsidRDefault="00F465B0" w:rsidP="00EF043F">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5</w:t>
            </w:r>
            <w:r w:rsidRPr="00EF043F">
              <w:rPr>
                <w:rFonts w:ascii="仿宋_GB2312" w:eastAsia="仿宋_GB2312"/>
                <w:color w:val="000000"/>
                <w:sz w:val="28"/>
                <w:szCs w:val="28"/>
              </w:rPr>
              <w:t>0000</w:t>
            </w:r>
          </w:p>
        </w:tc>
        <w:tc>
          <w:tcPr>
            <w:tcW w:w="986" w:type="pct"/>
            <w:vAlign w:val="center"/>
          </w:tcPr>
          <w:p w:rsidR="00F465B0" w:rsidRPr="00EF043F" w:rsidRDefault="00F465B0" w:rsidP="00EF043F">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AnsiTheme="minorEastAsia" w:hint="eastAsia"/>
                <w:sz w:val="28"/>
                <w:szCs w:val="28"/>
              </w:rPr>
              <w:t>3</w:t>
            </w:r>
            <w:r w:rsidRPr="00EF043F">
              <w:rPr>
                <w:rFonts w:ascii="仿宋_GB2312" w:eastAsia="仿宋_GB2312" w:hAnsiTheme="minorEastAsia"/>
                <w:sz w:val="28"/>
                <w:szCs w:val="28"/>
              </w:rPr>
              <w:t>2374</w:t>
            </w:r>
          </w:p>
        </w:tc>
        <w:tc>
          <w:tcPr>
            <w:tcW w:w="758" w:type="pct"/>
            <w:vAlign w:val="center"/>
          </w:tcPr>
          <w:p w:rsidR="00F465B0" w:rsidRPr="00EF043F" w:rsidRDefault="00F465B0" w:rsidP="00EF043F">
            <w:pPr>
              <w:pStyle w:val="10"/>
              <w:adjustRightInd w:val="0"/>
              <w:snapToGrid w:val="0"/>
              <w:spacing w:line="400" w:lineRule="exact"/>
              <w:ind w:firstLineChars="0" w:firstLine="0"/>
              <w:jc w:val="center"/>
              <w:rPr>
                <w:rFonts w:ascii="仿宋_GB2312" w:eastAsia="仿宋_GB2312"/>
                <w:color w:val="000000"/>
                <w:sz w:val="28"/>
                <w:szCs w:val="28"/>
              </w:rPr>
            </w:pPr>
            <w:r w:rsidRPr="00EF043F">
              <w:rPr>
                <w:rFonts w:ascii="仿宋_GB2312" w:eastAsia="仿宋_GB2312" w:hint="eastAsia"/>
                <w:color w:val="000000"/>
                <w:sz w:val="28"/>
                <w:szCs w:val="28"/>
              </w:rPr>
              <w:t>1</w:t>
            </w:r>
            <w:r w:rsidRPr="00EF043F">
              <w:rPr>
                <w:rFonts w:ascii="仿宋_GB2312" w:eastAsia="仿宋_GB2312"/>
                <w:color w:val="000000"/>
                <w:sz w:val="28"/>
                <w:szCs w:val="28"/>
              </w:rPr>
              <w:t>5000</w:t>
            </w:r>
          </w:p>
        </w:tc>
      </w:tr>
    </w:tbl>
    <w:p w:rsidR="00F465B0" w:rsidRPr="007F0B8E" w:rsidRDefault="00F465B0" w:rsidP="00F02FC8">
      <w:pPr>
        <w:pStyle w:val="10"/>
        <w:adjustRightInd w:val="0"/>
        <w:snapToGrid w:val="0"/>
        <w:spacing w:line="560" w:lineRule="exact"/>
        <w:ind w:firstLineChars="0"/>
        <w:rPr>
          <w:rFonts w:ascii="仿宋_GB2312" w:eastAsia="仿宋_GB2312"/>
          <w:b/>
          <w:color w:val="000000"/>
          <w:sz w:val="30"/>
          <w:szCs w:val="30"/>
        </w:rPr>
      </w:pPr>
      <w:r w:rsidRPr="007F0B8E">
        <w:rPr>
          <w:rFonts w:ascii="仿宋_GB2312" w:eastAsia="仿宋_GB2312" w:hint="eastAsia"/>
          <w:b/>
          <w:color w:val="000000"/>
          <w:sz w:val="30"/>
          <w:szCs w:val="30"/>
        </w:rPr>
        <w:t>（三）增加关联交易预计额度的原因</w:t>
      </w:r>
    </w:p>
    <w:p w:rsidR="00F465B0" w:rsidRDefault="00F465B0" w:rsidP="00F465B0">
      <w:pPr>
        <w:spacing w:line="560" w:lineRule="exact"/>
        <w:ind w:firstLineChars="200" w:firstLine="640"/>
        <w:rPr>
          <w:rFonts w:ascii="仿宋_GB2312" w:eastAsia="仿宋_GB2312" w:hAnsiTheme="minorEastAsia"/>
          <w:sz w:val="32"/>
          <w:szCs w:val="32"/>
        </w:rPr>
      </w:pPr>
      <w:bookmarkStart w:id="4" w:name="OLE_LINK9"/>
      <w:r>
        <w:rPr>
          <w:rFonts w:ascii="仿宋_GB2312" w:eastAsia="仿宋_GB2312" w:hAnsiTheme="minorEastAsia" w:hint="eastAsia"/>
          <w:sz w:val="32"/>
          <w:szCs w:val="32"/>
        </w:rPr>
        <w:t>公司因自产炼焦煤产量不能满足客户需求，公司销售分公司通过向关联方</w:t>
      </w:r>
      <w:r w:rsidRPr="008758E3">
        <w:rPr>
          <w:rFonts w:ascii="仿宋_GB2312" w:eastAsia="仿宋_GB2312" w:hAnsiTheme="minorEastAsia" w:hint="eastAsia"/>
          <w:sz w:val="32"/>
          <w:szCs w:val="32"/>
        </w:rPr>
        <w:t>安徽长江能源发展有限责任公司</w:t>
      </w:r>
      <w:r>
        <w:rPr>
          <w:rFonts w:ascii="仿宋_GB2312" w:eastAsia="仿宋_GB2312" w:hAnsiTheme="minorEastAsia" w:hint="eastAsia"/>
          <w:sz w:val="32"/>
          <w:szCs w:val="32"/>
        </w:rPr>
        <w:t>采购</w:t>
      </w:r>
      <w:r w:rsidRPr="008758E3">
        <w:rPr>
          <w:rFonts w:ascii="仿宋_GB2312" w:eastAsia="仿宋_GB2312" w:hAnsiTheme="minorEastAsia" w:hint="eastAsia"/>
          <w:sz w:val="32"/>
          <w:szCs w:val="32"/>
        </w:rPr>
        <w:t>外购</w:t>
      </w:r>
      <w:r>
        <w:rPr>
          <w:rFonts w:ascii="仿宋_GB2312" w:eastAsia="仿宋_GB2312" w:hAnsiTheme="minorEastAsia" w:hint="eastAsia"/>
          <w:sz w:val="32"/>
          <w:szCs w:val="32"/>
        </w:rPr>
        <w:t>的</w:t>
      </w:r>
      <w:r w:rsidRPr="008758E3">
        <w:rPr>
          <w:rFonts w:ascii="仿宋_GB2312" w:eastAsia="仿宋_GB2312" w:hAnsiTheme="minorEastAsia" w:hint="eastAsia"/>
          <w:sz w:val="32"/>
          <w:szCs w:val="32"/>
        </w:rPr>
        <w:t>市场</w:t>
      </w:r>
      <w:bookmarkStart w:id="5" w:name="OLE_LINK2"/>
      <w:r w:rsidRPr="008758E3">
        <w:rPr>
          <w:rFonts w:ascii="仿宋_GB2312" w:eastAsia="仿宋_GB2312" w:hAnsiTheme="minorEastAsia" w:hint="eastAsia"/>
          <w:sz w:val="32"/>
          <w:szCs w:val="32"/>
        </w:rPr>
        <w:t>炼焦煤</w:t>
      </w:r>
      <w:bookmarkEnd w:id="5"/>
      <w:r>
        <w:rPr>
          <w:rFonts w:ascii="仿宋_GB2312" w:eastAsia="仿宋_GB2312" w:hAnsiTheme="minorEastAsia" w:hint="eastAsia"/>
          <w:sz w:val="32"/>
          <w:szCs w:val="32"/>
        </w:rPr>
        <w:t>销售给相关客户，以此来提高公司</w:t>
      </w:r>
      <w:r w:rsidRPr="008758E3">
        <w:rPr>
          <w:rFonts w:ascii="仿宋_GB2312" w:eastAsia="仿宋_GB2312" w:hAnsiTheme="minorEastAsia" w:hint="eastAsia"/>
          <w:sz w:val="32"/>
          <w:szCs w:val="32"/>
        </w:rPr>
        <w:t>炼焦煤</w:t>
      </w:r>
      <w:r>
        <w:rPr>
          <w:rFonts w:ascii="仿宋_GB2312" w:eastAsia="仿宋_GB2312" w:hAnsiTheme="minorEastAsia" w:hint="eastAsia"/>
          <w:sz w:val="32"/>
          <w:szCs w:val="32"/>
        </w:rPr>
        <w:t>市</w:t>
      </w:r>
      <w:r>
        <w:rPr>
          <w:rFonts w:ascii="仿宋_GB2312" w:eastAsia="仿宋_GB2312" w:hAnsiTheme="minorEastAsia" w:hint="eastAsia"/>
          <w:sz w:val="32"/>
          <w:szCs w:val="32"/>
        </w:rPr>
        <w:lastRenderedPageBreak/>
        <w:t>场占有率和稳定客户关系。受焦煤价格上升及下游客户需求增加，导致预计全年实际发生额较年初预计额度有所增加。</w:t>
      </w:r>
    </w:p>
    <w:bookmarkEnd w:id="4"/>
    <w:p w:rsidR="00F348C3" w:rsidRPr="007F0B8E" w:rsidRDefault="002D5612" w:rsidP="00F02FC8">
      <w:pPr>
        <w:pStyle w:val="10"/>
        <w:adjustRightInd w:val="0"/>
        <w:snapToGrid w:val="0"/>
        <w:spacing w:line="560" w:lineRule="exact"/>
        <w:ind w:firstLineChars="0"/>
        <w:rPr>
          <w:rFonts w:ascii="黑体" w:eastAsia="黑体" w:hAnsi="黑体"/>
          <w:color w:val="000000"/>
          <w:sz w:val="30"/>
          <w:szCs w:val="30"/>
        </w:rPr>
      </w:pPr>
      <w:r w:rsidRPr="007F0B8E">
        <w:rPr>
          <w:rFonts w:ascii="黑体" w:eastAsia="黑体" w:hAnsi="黑体" w:hint="eastAsia"/>
          <w:color w:val="000000"/>
          <w:sz w:val="30"/>
          <w:szCs w:val="30"/>
        </w:rPr>
        <w:t>二、关联方介绍及关联关系</w:t>
      </w:r>
    </w:p>
    <w:p w:rsidR="00B53CE1" w:rsidRPr="00B53CE1" w:rsidRDefault="00B53CE1" w:rsidP="00B53CE1">
      <w:pPr>
        <w:spacing w:line="560" w:lineRule="exact"/>
        <w:ind w:firstLineChars="200" w:firstLine="600"/>
        <w:rPr>
          <w:rFonts w:ascii="仿宋_GB2312" w:eastAsia="仿宋_GB2312"/>
          <w:color w:val="000000"/>
          <w:sz w:val="30"/>
          <w:szCs w:val="30"/>
        </w:rPr>
      </w:pPr>
      <w:bookmarkStart w:id="6" w:name="OLE_LINK8"/>
      <w:r w:rsidRPr="00B53CE1">
        <w:rPr>
          <w:rFonts w:ascii="仿宋_GB2312" w:eastAsia="仿宋_GB2312" w:hint="eastAsia"/>
          <w:color w:val="000000"/>
          <w:sz w:val="30"/>
          <w:szCs w:val="30"/>
        </w:rPr>
        <w:t>安徽长江能源发展有限责任公司</w:t>
      </w:r>
      <w:bookmarkEnd w:id="6"/>
      <w:r w:rsidRPr="00B53CE1">
        <w:rPr>
          <w:rFonts w:ascii="仿宋_GB2312" w:eastAsia="仿宋_GB2312" w:hint="eastAsia"/>
          <w:color w:val="000000"/>
          <w:sz w:val="30"/>
          <w:szCs w:val="30"/>
        </w:rPr>
        <w:t>成立于2</w:t>
      </w:r>
      <w:r w:rsidRPr="00B53CE1">
        <w:rPr>
          <w:rFonts w:ascii="仿宋_GB2312" w:eastAsia="仿宋_GB2312"/>
          <w:color w:val="000000"/>
          <w:sz w:val="30"/>
          <w:szCs w:val="30"/>
        </w:rPr>
        <w:t>007</w:t>
      </w:r>
      <w:r w:rsidRPr="00B53CE1">
        <w:rPr>
          <w:rFonts w:ascii="仿宋_GB2312" w:eastAsia="仿宋_GB2312" w:hint="eastAsia"/>
          <w:color w:val="000000"/>
          <w:sz w:val="30"/>
          <w:szCs w:val="30"/>
        </w:rPr>
        <w:t>年9月，注册地位于安徽省芜湖市开发区，注册资本8</w:t>
      </w:r>
      <w:r w:rsidRPr="00B53CE1">
        <w:rPr>
          <w:rFonts w:ascii="仿宋_GB2312" w:eastAsia="仿宋_GB2312"/>
          <w:color w:val="000000"/>
          <w:sz w:val="30"/>
          <w:szCs w:val="30"/>
        </w:rPr>
        <w:t>000</w:t>
      </w:r>
      <w:r w:rsidRPr="00B53CE1">
        <w:rPr>
          <w:rFonts w:ascii="仿宋_GB2312" w:eastAsia="仿宋_GB2312" w:hint="eastAsia"/>
          <w:color w:val="000000"/>
          <w:sz w:val="30"/>
          <w:szCs w:val="30"/>
        </w:rPr>
        <w:t>万元，主要经营范围为煤炭批发经营。安徽长江能源发展有限责任公司是</w:t>
      </w:r>
      <w:bookmarkStart w:id="7" w:name="OLE_LINK1"/>
      <w:bookmarkStart w:id="8" w:name="OLE_LINK3"/>
      <w:r w:rsidRPr="00B53CE1">
        <w:rPr>
          <w:rFonts w:ascii="仿宋_GB2312" w:eastAsia="仿宋_GB2312" w:hint="eastAsia"/>
          <w:color w:val="000000"/>
          <w:sz w:val="30"/>
          <w:szCs w:val="30"/>
        </w:rPr>
        <w:t>安徽省皖煤国贸有限责任公司</w:t>
      </w:r>
      <w:bookmarkEnd w:id="7"/>
      <w:bookmarkEnd w:id="8"/>
      <w:r w:rsidRPr="00B53CE1">
        <w:rPr>
          <w:rFonts w:ascii="仿宋_GB2312" w:eastAsia="仿宋_GB2312" w:hint="eastAsia"/>
          <w:color w:val="000000"/>
          <w:sz w:val="30"/>
          <w:szCs w:val="30"/>
        </w:rPr>
        <w:t>的全资子公司，公司控股股东安徽省皖北煤电集团有限责任公司持有安徽省皖煤国贸有限责任公司1</w:t>
      </w:r>
      <w:r w:rsidRPr="00B53CE1">
        <w:rPr>
          <w:rFonts w:ascii="仿宋_GB2312" w:eastAsia="仿宋_GB2312"/>
          <w:color w:val="000000"/>
          <w:sz w:val="30"/>
          <w:szCs w:val="30"/>
        </w:rPr>
        <w:t>00%</w:t>
      </w:r>
      <w:r w:rsidRPr="00B53CE1">
        <w:rPr>
          <w:rFonts w:ascii="仿宋_GB2312" w:eastAsia="仿宋_GB2312" w:hint="eastAsia"/>
          <w:color w:val="000000"/>
          <w:sz w:val="30"/>
          <w:szCs w:val="30"/>
        </w:rPr>
        <w:t>股权，属于公司关联方。</w:t>
      </w:r>
    </w:p>
    <w:p w:rsidR="001239C2" w:rsidRPr="007F0B8E" w:rsidRDefault="002D5612" w:rsidP="00F02FC8">
      <w:pPr>
        <w:pStyle w:val="10"/>
        <w:adjustRightInd w:val="0"/>
        <w:snapToGrid w:val="0"/>
        <w:spacing w:line="560" w:lineRule="exact"/>
        <w:ind w:firstLineChars="0"/>
        <w:rPr>
          <w:rFonts w:ascii="黑体" w:eastAsia="黑体" w:hAnsi="黑体"/>
          <w:color w:val="000000"/>
          <w:sz w:val="30"/>
          <w:szCs w:val="30"/>
        </w:rPr>
      </w:pPr>
      <w:r w:rsidRPr="007F0B8E">
        <w:rPr>
          <w:rFonts w:ascii="黑体" w:eastAsia="黑体" w:hAnsi="黑体" w:hint="eastAsia"/>
          <w:color w:val="000000"/>
          <w:sz w:val="30"/>
          <w:szCs w:val="30"/>
        </w:rPr>
        <w:t>三、关联交易定价政策</w:t>
      </w:r>
    </w:p>
    <w:p w:rsidR="002D5612" w:rsidRDefault="002D5612" w:rsidP="00F02FC8">
      <w:pPr>
        <w:pStyle w:val="10"/>
        <w:adjustRightInd w:val="0"/>
        <w:snapToGrid w:val="0"/>
        <w:spacing w:line="560" w:lineRule="exact"/>
        <w:ind w:firstLineChars="0"/>
        <w:rPr>
          <w:rFonts w:ascii="仿宋_GB2312" w:eastAsia="仿宋_GB2312"/>
          <w:color w:val="000000"/>
          <w:sz w:val="30"/>
          <w:szCs w:val="30"/>
        </w:rPr>
      </w:pPr>
      <w:r w:rsidRPr="002D5612">
        <w:rPr>
          <w:rFonts w:ascii="仿宋_GB2312" w:eastAsia="仿宋_GB2312" w:hint="eastAsia"/>
          <w:color w:val="000000"/>
          <w:sz w:val="30"/>
          <w:szCs w:val="30"/>
        </w:rPr>
        <w:t>公司本次新增的日常关联交易以市场价格为依据，遵循公平、公正、公允的定价原则，经</w:t>
      </w:r>
      <w:r w:rsidR="00A41C15">
        <w:rPr>
          <w:rFonts w:ascii="仿宋_GB2312" w:eastAsia="仿宋_GB2312" w:hint="eastAsia"/>
          <w:color w:val="000000"/>
          <w:sz w:val="30"/>
          <w:szCs w:val="30"/>
        </w:rPr>
        <w:t>协商定价</w:t>
      </w:r>
      <w:r w:rsidRPr="002D5612">
        <w:rPr>
          <w:rFonts w:ascii="仿宋_GB2312" w:eastAsia="仿宋_GB2312" w:hint="eastAsia"/>
          <w:color w:val="000000"/>
          <w:sz w:val="30"/>
          <w:szCs w:val="30"/>
        </w:rPr>
        <w:t>方式确定价格。</w:t>
      </w:r>
    </w:p>
    <w:p w:rsidR="002D5612" w:rsidRPr="007F0B8E" w:rsidRDefault="002D5612" w:rsidP="00F02FC8">
      <w:pPr>
        <w:pStyle w:val="10"/>
        <w:adjustRightInd w:val="0"/>
        <w:snapToGrid w:val="0"/>
        <w:spacing w:line="560" w:lineRule="exact"/>
        <w:ind w:firstLineChars="0"/>
        <w:rPr>
          <w:rFonts w:ascii="黑体" w:eastAsia="黑体" w:hAnsi="黑体"/>
          <w:color w:val="000000"/>
          <w:sz w:val="30"/>
          <w:szCs w:val="30"/>
        </w:rPr>
      </w:pPr>
      <w:r w:rsidRPr="007F0B8E">
        <w:rPr>
          <w:rFonts w:ascii="黑体" w:eastAsia="黑体" w:hAnsi="黑体" w:hint="eastAsia"/>
          <w:color w:val="000000"/>
          <w:sz w:val="30"/>
          <w:szCs w:val="30"/>
        </w:rPr>
        <w:t>四、关联交易目的和对上市公司的影响</w:t>
      </w:r>
    </w:p>
    <w:p w:rsidR="002D5612" w:rsidRDefault="002D5612" w:rsidP="00F02FC8">
      <w:pPr>
        <w:pStyle w:val="10"/>
        <w:adjustRightInd w:val="0"/>
        <w:snapToGrid w:val="0"/>
        <w:spacing w:line="560" w:lineRule="exact"/>
        <w:ind w:firstLineChars="0"/>
        <w:rPr>
          <w:rFonts w:ascii="仿宋_GB2312" w:eastAsia="仿宋_GB2312"/>
          <w:color w:val="000000"/>
          <w:sz w:val="30"/>
          <w:szCs w:val="30"/>
        </w:rPr>
      </w:pPr>
      <w:r w:rsidRPr="002D5612">
        <w:rPr>
          <w:rFonts w:ascii="仿宋_GB2312" w:eastAsia="仿宋_GB2312" w:hint="eastAsia"/>
          <w:color w:val="000000"/>
          <w:sz w:val="30"/>
          <w:szCs w:val="30"/>
        </w:rPr>
        <w:t>本次新增 2025 年度预计日常关联交易额度</w:t>
      </w:r>
      <w:r w:rsidR="007F0B8E">
        <w:rPr>
          <w:rFonts w:ascii="仿宋_GB2312" w:eastAsia="仿宋_GB2312" w:hint="eastAsia"/>
          <w:color w:val="000000"/>
          <w:sz w:val="30"/>
          <w:szCs w:val="30"/>
        </w:rPr>
        <w:t>，</w:t>
      </w:r>
      <w:r w:rsidRPr="002D5612">
        <w:rPr>
          <w:rFonts w:ascii="仿宋_GB2312" w:eastAsia="仿宋_GB2312" w:hint="eastAsia"/>
          <w:color w:val="000000"/>
          <w:sz w:val="30"/>
          <w:szCs w:val="30"/>
        </w:rPr>
        <w:t>是为了满足公司正常的生产经营需要，</w:t>
      </w:r>
      <w:r w:rsidR="007F0B8E">
        <w:rPr>
          <w:rFonts w:ascii="仿宋_GB2312" w:eastAsia="仿宋_GB2312" w:hint="eastAsia"/>
          <w:color w:val="000000"/>
          <w:sz w:val="30"/>
          <w:szCs w:val="30"/>
        </w:rPr>
        <w:t>有利于公司扩大销售规模，提升市场占有率，</w:t>
      </w:r>
      <w:r w:rsidRPr="002D5612">
        <w:rPr>
          <w:rFonts w:ascii="仿宋_GB2312" w:eastAsia="仿宋_GB2312" w:hint="eastAsia"/>
          <w:color w:val="000000"/>
          <w:sz w:val="30"/>
          <w:szCs w:val="30"/>
        </w:rPr>
        <w:t>是在平等、互利基础上进行的，定价原则合理、公允，不会形成公司对关联人的依赖，不会影响公司的独立性</w:t>
      </w:r>
      <w:bookmarkStart w:id="9" w:name="_GoBack"/>
      <w:bookmarkEnd w:id="9"/>
      <w:r w:rsidRPr="002D5612">
        <w:rPr>
          <w:rFonts w:ascii="仿宋_GB2312" w:eastAsia="仿宋_GB2312" w:hint="eastAsia"/>
          <w:color w:val="000000"/>
          <w:sz w:val="30"/>
          <w:szCs w:val="30"/>
        </w:rPr>
        <w:t>，公司按照相关法律法规规定履行审批程序，不存在损害本公司和股东利益的情形。</w:t>
      </w:r>
    </w:p>
    <w:p w:rsidR="002D5612" w:rsidRDefault="002D5612" w:rsidP="00F02FC8">
      <w:pPr>
        <w:pStyle w:val="10"/>
        <w:adjustRightInd w:val="0"/>
        <w:snapToGrid w:val="0"/>
        <w:spacing w:line="560" w:lineRule="exact"/>
        <w:ind w:firstLineChars="0"/>
        <w:rPr>
          <w:rFonts w:ascii="仿宋_GB2312" w:eastAsia="仿宋_GB2312"/>
          <w:color w:val="000000"/>
          <w:sz w:val="30"/>
          <w:szCs w:val="30"/>
        </w:rPr>
      </w:pPr>
      <w:r w:rsidRPr="002D5612">
        <w:rPr>
          <w:rFonts w:ascii="仿宋_GB2312" w:eastAsia="仿宋_GB2312" w:hint="eastAsia"/>
          <w:color w:val="000000"/>
          <w:sz w:val="30"/>
          <w:szCs w:val="30"/>
        </w:rPr>
        <w:t>特此公告。</w:t>
      </w:r>
    </w:p>
    <w:p w:rsidR="002D5612" w:rsidRDefault="002D5612" w:rsidP="002D5612">
      <w:pPr>
        <w:pStyle w:val="10"/>
        <w:adjustRightInd w:val="0"/>
        <w:snapToGrid w:val="0"/>
        <w:spacing w:line="560" w:lineRule="exact"/>
        <w:ind w:firstLineChars="1200" w:firstLine="3600"/>
        <w:rPr>
          <w:rFonts w:ascii="仿宋_GB2312" w:eastAsia="仿宋_GB2312"/>
          <w:color w:val="000000"/>
          <w:sz w:val="30"/>
          <w:szCs w:val="30"/>
        </w:rPr>
      </w:pPr>
      <w:r>
        <w:rPr>
          <w:rFonts w:ascii="仿宋_GB2312" w:eastAsia="仿宋_GB2312" w:hint="eastAsia"/>
          <w:color w:val="000000"/>
          <w:sz w:val="30"/>
          <w:szCs w:val="30"/>
        </w:rPr>
        <w:t>安徽恒源煤电股份有限公司董事会</w:t>
      </w:r>
    </w:p>
    <w:p w:rsidR="002D5612" w:rsidRPr="00F348C3" w:rsidRDefault="002D5612" w:rsidP="002D5612">
      <w:pPr>
        <w:pStyle w:val="10"/>
        <w:adjustRightInd w:val="0"/>
        <w:snapToGrid w:val="0"/>
        <w:spacing w:line="560" w:lineRule="exact"/>
        <w:ind w:firstLineChars="1600" w:firstLine="48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025</w:t>
      </w:r>
      <w:r>
        <w:rPr>
          <w:rFonts w:ascii="仿宋_GB2312" w:eastAsia="仿宋_GB2312" w:hint="eastAsia"/>
          <w:color w:val="000000"/>
          <w:sz w:val="30"/>
          <w:szCs w:val="30"/>
        </w:rPr>
        <w:t>年1</w:t>
      </w:r>
      <w:r>
        <w:rPr>
          <w:rFonts w:ascii="仿宋_GB2312" w:eastAsia="仿宋_GB2312"/>
          <w:color w:val="000000"/>
          <w:sz w:val="30"/>
          <w:szCs w:val="30"/>
        </w:rPr>
        <w:t>2</w:t>
      </w:r>
      <w:r>
        <w:rPr>
          <w:rFonts w:ascii="仿宋_GB2312" w:eastAsia="仿宋_GB2312" w:hint="eastAsia"/>
          <w:color w:val="000000"/>
          <w:sz w:val="30"/>
          <w:szCs w:val="30"/>
        </w:rPr>
        <w:t>月1</w:t>
      </w:r>
      <w:r>
        <w:rPr>
          <w:rFonts w:ascii="仿宋_GB2312" w:eastAsia="仿宋_GB2312"/>
          <w:color w:val="000000"/>
          <w:sz w:val="30"/>
          <w:szCs w:val="30"/>
        </w:rPr>
        <w:t>8</w:t>
      </w:r>
      <w:r>
        <w:rPr>
          <w:rFonts w:ascii="仿宋_GB2312" w:eastAsia="仿宋_GB2312" w:hint="eastAsia"/>
          <w:color w:val="000000"/>
          <w:sz w:val="30"/>
          <w:szCs w:val="30"/>
        </w:rPr>
        <w:t>日</w:t>
      </w:r>
    </w:p>
    <w:sectPr w:rsidR="002D5612" w:rsidRPr="00F348C3" w:rsidSect="00A65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510" w:rsidRDefault="005A7510" w:rsidP="00652529">
      <w:r>
        <w:separator/>
      </w:r>
    </w:p>
  </w:endnote>
  <w:endnote w:type="continuationSeparator" w:id="0">
    <w:p w:rsidR="005A7510" w:rsidRDefault="005A7510" w:rsidP="0065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510" w:rsidRDefault="005A7510" w:rsidP="00652529">
      <w:r>
        <w:separator/>
      </w:r>
    </w:p>
  </w:footnote>
  <w:footnote w:type="continuationSeparator" w:id="0">
    <w:p w:rsidR="005A7510" w:rsidRDefault="005A7510" w:rsidP="0065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D041C1"/>
    <w:multiLevelType w:val="singleLevel"/>
    <w:tmpl w:val="ADD041C1"/>
    <w:lvl w:ilvl="0">
      <w:start w:val="6"/>
      <w:numFmt w:val="chineseCounting"/>
      <w:suff w:val="nothing"/>
      <w:lvlText w:val="%1、"/>
      <w:lvlJc w:val="left"/>
      <w:rPr>
        <w:rFonts w:hint="eastAsia"/>
      </w:r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2" w15:restartNumberingAfterBreak="0">
    <w:nsid w:val="7F9CED9D"/>
    <w:multiLevelType w:val="singleLevel"/>
    <w:tmpl w:val="7F9CED9D"/>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2529"/>
    <w:rsid w:val="00027863"/>
    <w:rsid w:val="00040046"/>
    <w:rsid w:val="00045DE1"/>
    <w:rsid w:val="00091978"/>
    <w:rsid w:val="000A0A0E"/>
    <w:rsid w:val="000A3448"/>
    <w:rsid w:val="000A44F8"/>
    <w:rsid w:val="000B609A"/>
    <w:rsid w:val="000C05C2"/>
    <w:rsid w:val="000C337E"/>
    <w:rsid w:val="000F50C7"/>
    <w:rsid w:val="001239C2"/>
    <w:rsid w:val="001404EA"/>
    <w:rsid w:val="00154054"/>
    <w:rsid w:val="001673FC"/>
    <w:rsid w:val="00170056"/>
    <w:rsid w:val="001B2BBF"/>
    <w:rsid w:val="001C6701"/>
    <w:rsid w:val="001D07CA"/>
    <w:rsid w:val="001D48D9"/>
    <w:rsid w:val="001E0590"/>
    <w:rsid w:val="001F3008"/>
    <w:rsid w:val="0020345A"/>
    <w:rsid w:val="00252FEF"/>
    <w:rsid w:val="00257F16"/>
    <w:rsid w:val="002A328F"/>
    <w:rsid w:val="002D5612"/>
    <w:rsid w:val="002D6599"/>
    <w:rsid w:val="002E4676"/>
    <w:rsid w:val="002F267A"/>
    <w:rsid w:val="00341D35"/>
    <w:rsid w:val="003571F5"/>
    <w:rsid w:val="00360599"/>
    <w:rsid w:val="003709A4"/>
    <w:rsid w:val="003709CC"/>
    <w:rsid w:val="00376EC1"/>
    <w:rsid w:val="003A7534"/>
    <w:rsid w:val="003E0ECF"/>
    <w:rsid w:val="00417E4D"/>
    <w:rsid w:val="00421622"/>
    <w:rsid w:val="004E34BA"/>
    <w:rsid w:val="004E58FC"/>
    <w:rsid w:val="004F08DD"/>
    <w:rsid w:val="00501D74"/>
    <w:rsid w:val="00520695"/>
    <w:rsid w:val="00532C53"/>
    <w:rsid w:val="00564FA1"/>
    <w:rsid w:val="005917C2"/>
    <w:rsid w:val="00593343"/>
    <w:rsid w:val="00593368"/>
    <w:rsid w:val="005A7510"/>
    <w:rsid w:val="005C0D6E"/>
    <w:rsid w:val="005C7C96"/>
    <w:rsid w:val="00640E8E"/>
    <w:rsid w:val="00652529"/>
    <w:rsid w:val="00661206"/>
    <w:rsid w:val="006845FE"/>
    <w:rsid w:val="006A7D62"/>
    <w:rsid w:val="006B0651"/>
    <w:rsid w:val="006C088B"/>
    <w:rsid w:val="006D4311"/>
    <w:rsid w:val="006D503A"/>
    <w:rsid w:val="0071544B"/>
    <w:rsid w:val="007344C8"/>
    <w:rsid w:val="0076355B"/>
    <w:rsid w:val="00795370"/>
    <w:rsid w:val="007A12A8"/>
    <w:rsid w:val="007A32F9"/>
    <w:rsid w:val="007C37F8"/>
    <w:rsid w:val="007E581F"/>
    <w:rsid w:val="007F0B8E"/>
    <w:rsid w:val="00804F5C"/>
    <w:rsid w:val="00825626"/>
    <w:rsid w:val="00876F9D"/>
    <w:rsid w:val="00886785"/>
    <w:rsid w:val="008932B7"/>
    <w:rsid w:val="008A6473"/>
    <w:rsid w:val="008B180E"/>
    <w:rsid w:val="008C363E"/>
    <w:rsid w:val="008D3908"/>
    <w:rsid w:val="008D6574"/>
    <w:rsid w:val="008E7F59"/>
    <w:rsid w:val="008F0186"/>
    <w:rsid w:val="009470F6"/>
    <w:rsid w:val="00970082"/>
    <w:rsid w:val="00982A1D"/>
    <w:rsid w:val="00994ADF"/>
    <w:rsid w:val="009A10F5"/>
    <w:rsid w:val="009C175F"/>
    <w:rsid w:val="009D114B"/>
    <w:rsid w:val="009E028B"/>
    <w:rsid w:val="00A03BB3"/>
    <w:rsid w:val="00A210E6"/>
    <w:rsid w:val="00A4104F"/>
    <w:rsid w:val="00A41C15"/>
    <w:rsid w:val="00AA2F22"/>
    <w:rsid w:val="00AC57E5"/>
    <w:rsid w:val="00AD257A"/>
    <w:rsid w:val="00AE7F9A"/>
    <w:rsid w:val="00AF5C09"/>
    <w:rsid w:val="00B10BCD"/>
    <w:rsid w:val="00B36552"/>
    <w:rsid w:val="00B53CE1"/>
    <w:rsid w:val="00B766F0"/>
    <w:rsid w:val="00B94F60"/>
    <w:rsid w:val="00BA0904"/>
    <w:rsid w:val="00BA3020"/>
    <w:rsid w:val="00BC53A9"/>
    <w:rsid w:val="00BD1044"/>
    <w:rsid w:val="00BE0DFC"/>
    <w:rsid w:val="00C10D92"/>
    <w:rsid w:val="00C112BF"/>
    <w:rsid w:val="00C11BC0"/>
    <w:rsid w:val="00C43F1B"/>
    <w:rsid w:val="00C57A01"/>
    <w:rsid w:val="00C979CD"/>
    <w:rsid w:val="00CA6DE2"/>
    <w:rsid w:val="00CB4599"/>
    <w:rsid w:val="00CC7BEC"/>
    <w:rsid w:val="00CD6540"/>
    <w:rsid w:val="00CE33A9"/>
    <w:rsid w:val="00D3601F"/>
    <w:rsid w:val="00D400E9"/>
    <w:rsid w:val="00D45E40"/>
    <w:rsid w:val="00DA4DBD"/>
    <w:rsid w:val="00DB4547"/>
    <w:rsid w:val="00DC706E"/>
    <w:rsid w:val="00DD5138"/>
    <w:rsid w:val="00DF3C5A"/>
    <w:rsid w:val="00E042A0"/>
    <w:rsid w:val="00E15D1B"/>
    <w:rsid w:val="00E36622"/>
    <w:rsid w:val="00E44350"/>
    <w:rsid w:val="00E652F1"/>
    <w:rsid w:val="00ED5DBA"/>
    <w:rsid w:val="00EE5150"/>
    <w:rsid w:val="00EF043F"/>
    <w:rsid w:val="00F02FC8"/>
    <w:rsid w:val="00F1660F"/>
    <w:rsid w:val="00F26263"/>
    <w:rsid w:val="00F3255A"/>
    <w:rsid w:val="00F348C3"/>
    <w:rsid w:val="00F465B0"/>
    <w:rsid w:val="00F566F5"/>
    <w:rsid w:val="00F604C6"/>
    <w:rsid w:val="00F671FD"/>
    <w:rsid w:val="00F70D4D"/>
    <w:rsid w:val="00F81427"/>
    <w:rsid w:val="00F87AC5"/>
    <w:rsid w:val="00FA0332"/>
    <w:rsid w:val="00FA5EB2"/>
    <w:rsid w:val="00FB7BF0"/>
    <w:rsid w:val="00FC75E8"/>
    <w:rsid w:val="00FE1391"/>
    <w:rsid w:val="00FF4CA3"/>
    <w:rsid w:val="00FF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E2174"/>
  <w15:docId w15:val="{3941C8EB-B389-4A46-868E-7AD24C81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5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5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52529"/>
    <w:rPr>
      <w:sz w:val="18"/>
      <w:szCs w:val="18"/>
    </w:rPr>
  </w:style>
  <w:style w:type="paragraph" w:styleId="a5">
    <w:name w:val="footer"/>
    <w:basedOn w:val="a"/>
    <w:link w:val="a6"/>
    <w:uiPriority w:val="99"/>
    <w:unhideWhenUsed/>
    <w:rsid w:val="006525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52529"/>
    <w:rPr>
      <w:sz w:val="18"/>
      <w:szCs w:val="18"/>
    </w:rPr>
  </w:style>
  <w:style w:type="paragraph" w:styleId="a7">
    <w:name w:val="Date"/>
    <w:basedOn w:val="a"/>
    <w:next w:val="a"/>
    <w:link w:val="a8"/>
    <w:uiPriority w:val="99"/>
    <w:semiHidden/>
    <w:unhideWhenUsed/>
    <w:rsid w:val="00257F16"/>
    <w:pPr>
      <w:ind w:leftChars="2500" w:left="100"/>
    </w:pPr>
  </w:style>
  <w:style w:type="character" w:customStyle="1" w:styleId="a8">
    <w:name w:val="日期 字符"/>
    <w:basedOn w:val="a0"/>
    <w:link w:val="a7"/>
    <w:uiPriority w:val="99"/>
    <w:semiHidden/>
    <w:rsid w:val="00257F16"/>
    <w:rPr>
      <w:rFonts w:ascii="Calibri" w:eastAsia="宋体" w:hAnsi="Calibri" w:cs="Times New Roman"/>
    </w:rPr>
  </w:style>
  <w:style w:type="paragraph" w:styleId="a9">
    <w:name w:val="Normal Indent"/>
    <w:basedOn w:val="a"/>
    <w:next w:val="a"/>
    <w:qFormat/>
    <w:rsid w:val="007C37F8"/>
    <w:pPr>
      <w:ind w:firstLineChars="200" w:firstLine="420"/>
    </w:pPr>
    <w:rPr>
      <w:rFonts w:ascii="等线" w:eastAsia="等线" w:hAnsi="等线"/>
    </w:rPr>
  </w:style>
  <w:style w:type="table" w:styleId="aa">
    <w:name w:val="Table Grid"/>
    <w:basedOn w:val="a1"/>
    <w:uiPriority w:val="39"/>
    <w:qFormat/>
    <w:rsid w:val="007C37F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59"/>
    <w:qFormat/>
    <w:rsid w:val="007C37F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F02F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3</Pages>
  <Words>241</Words>
  <Characters>1376</Characters>
  <Application>Microsoft Office Word</Application>
  <DocSecurity>0</DocSecurity>
  <Lines>11</Lines>
  <Paragraphs>3</Paragraphs>
  <ScaleCrop>false</ScaleCrop>
  <Company>china</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赵海波</cp:lastModifiedBy>
  <cp:revision>37</cp:revision>
  <cp:lastPrinted>2017-02-22T06:09:00Z</cp:lastPrinted>
  <dcterms:created xsi:type="dcterms:W3CDTF">2017-02-22T03:13:00Z</dcterms:created>
  <dcterms:modified xsi:type="dcterms:W3CDTF">2025-12-16T08:19:00Z</dcterms:modified>
</cp:coreProperties>
</file>